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6261" w14:textId="44353343" w:rsidR="000106D6" w:rsidRPr="00A5701A" w:rsidRDefault="000106D6" w:rsidP="00571CE4">
      <w:pPr>
        <w:jc w:val="center"/>
        <w:rPr>
          <w:rFonts w:ascii="Times New Roman" w:hAnsi="Times New Roman" w:cs="Times New Roman"/>
          <w:b/>
          <w:szCs w:val="24"/>
        </w:rPr>
      </w:pPr>
      <w:r w:rsidRPr="00A5701A">
        <w:rPr>
          <w:rFonts w:ascii="Times New Roman" w:hAnsi="Times New Roman" w:cs="Times New Roman"/>
          <w:b/>
          <w:szCs w:val="24"/>
        </w:rPr>
        <w:t>CONTRIBUIÇÃO A AVALIAÇÃO DE QUALIDADE DE VIDA NOS CENTROS URBANOS</w:t>
      </w:r>
      <w:r w:rsidR="00BA11E3">
        <w:rPr>
          <w:rStyle w:val="Refdenotaderodap"/>
          <w:rFonts w:ascii="Times New Roman" w:hAnsi="Times New Roman" w:cs="Times New Roman"/>
          <w:b/>
          <w:szCs w:val="24"/>
        </w:rPr>
        <w:footnoteReference w:id="1"/>
      </w:r>
    </w:p>
    <w:p w14:paraId="1AD25AF4" w14:textId="5501A3D7" w:rsidR="0056375F" w:rsidRPr="00705D62" w:rsidRDefault="005F5C97" w:rsidP="005F5C97">
      <w:pPr>
        <w:jc w:val="center"/>
        <w:rPr>
          <w:rFonts w:ascii="Times New Roman" w:hAnsi="Times New Roman" w:cs="Times New Roman"/>
          <w:lang w:val="en-US"/>
        </w:rPr>
      </w:pPr>
      <w:r w:rsidRPr="00705D62">
        <w:rPr>
          <w:rFonts w:ascii="Times New Roman" w:hAnsi="Times New Roman" w:cs="Times New Roman"/>
          <w:lang w:val="en-US"/>
        </w:rPr>
        <w:t>Contri</w:t>
      </w:r>
      <w:r w:rsidR="00705D62" w:rsidRPr="00705D62">
        <w:rPr>
          <w:rFonts w:ascii="Times New Roman" w:hAnsi="Times New Roman" w:cs="Times New Roman"/>
          <w:lang w:val="en-US"/>
        </w:rPr>
        <w:t>bution to the evaluation</w:t>
      </w:r>
      <w:r w:rsidR="00705D62">
        <w:rPr>
          <w:rFonts w:ascii="Times New Roman" w:hAnsi="Times New Roman" w:cs="Times New Roman"/>
          <w:lang w:val="en-US"/>
        </w:rPr>
        <w:t xml:space="preserve"> of</w:t>
      </w:r>
      <w:r w:rsidR="00705D62" w:rsidRPr="00705D62">
        <w:rPr>
          <w:rFonts w:ascii="Times New Roman" w:hAnsi="Times New Roman" w:cs="Times New Roman"/>
          <w:lang w:val="en-US"/>
        </w:rPr>
        <w:t xml:space="preserve"> quality of life in urban centers</w:t>
      </w:r>
    </w:p>
    <w:p w14:paraId="6CBCB1C9" w14:textId="77777777" w:rsidR="005F5C97" w:rsidRPr="00705D62" w:rsidRDefault="005F5C97" w:rsidP="00902BBD">
      <w:pPr>
        <w:jc w:val="left"/>
        <w:rPr>
          <w:rFonts w:ascii="Times New Roman" w:hAnsi="Times New Roman" w:cs="Times New Roman"/>
          <w:b/>
          <w:bCs/>
          <w:lang w:val="en-US"/>
        </w:rPr>
      </w:pPr>
    </w:p>
    <w:p w14:paraId="3E5B4486" w14:textId="41C7B888" w:rsidR="00902BBD" w:rsidRPr="00B628DE" w:rsidRDefault="008D42B4" w:rsidP="00902BBD">
      <w:pPr>
        <w:jc w:val="left"/>
        <w:rPr>
          <w:rFonts w:ascii="Times New Roman" w:hAnsi="Times New Roman" w:cs="Times New Roman"/>
          <w:b/>
          <w:bCs/>
        </w:rPr>
      </w:pPr>
      <w:r w:rsidRPr="00B628DE">
        <w:rPr>
          <w:rFonts w:ascii="Times New Roman" w:hAnsi="Times New Roman" w:cs="Times New Roman"/>
          <w:b/>
          <w:bCs/>
        </w:rPr>
        <w:t>EIXO:  1</w:t>
      </w:r>
    </w:p>
    <w:p w14:paraId="73344E84" w14:textId="2D7ABFBF" w:rsidR="00371FF7" w:rsidRPr="00A5701A" w:rsidRDefault="00592F25" w:rsidP="0078541C">
      <w:pPr>
        <w:spacing w:line="240" w:lineRule="auto"/>
        <w:jc w:val="right"/>
        <w:rPr>
          <w:rFonts w:ascii="Times New Roman" w:hAnsi="Times New Roman" w:cs="Times New Roman"/>
          <w:b/>
          <w:bCs/>
          <w:u w:val="single"/>
        </w:rPr>
      </w:pPr>
      <w:r w:rsidRPr="00A5701A">
        <w:rPr>
          <w:rFonts w:ascii="Times New Roman" w:hAnsi="Times New Roman" w:cs="Times New Roman"/>
          <w:b/>
          <w:bCs/>
          <w:u w:val="single"/>
        </w:rPr>
        <w:t>SANTOS, Alda Paulina</w:t>
      </w:r>
    </w:p>
    <w:p w14:paraId="591ABDF4" w14:textId="6F1EA9CF" w:rsidR="00371FF7" w:rsidRPr="00A5701A" w:rsidRDefault="00371FF7" w:rsidP="0078541C">
      <w:pPr>
        <w:spacing w:line="240" w:lineRule="auto"/>
        <w:jc w:val="right"/>
        <w:rPr>
          <w:rFonts w:ascii="Times New Roman" w:hAnsi="Times New Roman" w:cs="Times New Roman"/>
        </w:rPr>
      </w:pPr>
      <w:r w:rsidRPr="00A5701A">
        <w:rPr>
          <w:rFonts w:ascii="Times New Roman" w:hAnsi="Times New Roman" w:cs="Times New Roman"/>
        </w:rPr>
        <w:t>UN</w:t>
      </w:r>
      <w:r w:rsidR="00A21C9A">
        <w:rPr>
          <w:rFonts w:ascii="Times New Roman" w:hAnsi="Times New Roman" w:cs="Times New Roman"/>
        </w:rPr>
        <w:t>I</w:t>
      </w:r>
      <w:r w:rsidRPr="00A5701A">
        <w:rPr>
          <w:rFonts w:ascii="Times New Roman" w:hAnsi="Times New Roman" w:cs="Times New Roman"/>
        </w:rPr>
        <w:t>CAMP</w:t>
      </w:r>
    </w:p>
    <w:p w14:paraId="54B08348" w14:textId="12A943EA" w:rsidR="00371FF7" w:rsidRPr="00A5701A" w:rsidRDefault="00371FF7" w:rsidP="0078541C">
      <w:pPr>
        <w:spacing w:line="240" w:lineRule="auto"/>
        <w:jc w:val="right"/>
        <w:rPr>
          <w:rFonts w:ascii="Times New Roman" w:hAnsi="Times New Roman" w:cs="Times New Roman"/>
          <w:u w:val="single"/>
        </w:rPr>
      </w:pPr>
    </w:p>
    <w:p w14:paraId="029F2AEC" w14:textId="74DDF104" w:rsidR="00371FF7" w:rsidRPr="00A5701A" w:rsidRDefault="00371FF7" w:rsidP="0078541C">
      <w:pPr>
        <w:spacing w:line="80" w:lineRule="atLeast"/>
        <w:jc w:val="right"/>
        <w:rPr>
          <w:rFonts w:ascii="Times New Roman" w:hAnsi="Times New Roman" w:cs="Times New Roman"/>
          <w:b/>
          <w:bCs/>
          <w:u w:val="single"/>
        </w:rPr>
      </w:pPr>
      <w:r w:rsidRPr="00A5701A">
        <w:rPr>
          <w:rFonts w:ascii="Times New Roman" w:hAnsi="Times New Roman" w:cs="Times New Roman"/>
          <w:b/>
          <w:bCs/>
          <w:u w:val="single"/>
        </w:rPr>
        <w:t>FILHO, Lauro Luiz Francisco</w:t>
      </w:r>
    </w:p>
    <w:p w14:paraId="01741F3E" w14:textId="76A7D00C" w:rsidR="00371FF7" w:rsidRPr="00A5701A" w:rsidRDefault="00371FF7" w:rsidP="0078541C">
      <w:pPr>
        <w:spacing w:line="80" w:lineRule="atLeast"/>
        <w:jc w:val="right"/>
        <w:rPr>
          <w:rFonts w:ascii="Times New Roman" w:hAnsi="Times New Roman" w:cs="Times New Roman"/>
        </w:rPr>
      </w:pPr>
      <w:r w:rsidRPr="00A5701A">
        <w:rPr>
          <w:rFonts w:ascii="Times New Roman" w:hAnsi="Times New Roman" w:cs="Times New Roman"/>
        </w:rPr>
        <w:t>UNICAMP</w:t>
      </w:r>
    </w:p>
    <w:p w14:paraId="1ABDE22B" w14:textId="77777777" w:rsidR="00371FF7" w:rsidRPr="00A5701A" w:rsidRDefault="00371FF7" w:rsidP="00371FF7">
      <w:pPr>
        <w:spacing w:line="100" w:lineRule="atLeast"/>
        <w:rPr>
          <w:rFonts w:ascii="Times New Roman" w:hAnsi="Times New Roman" w:cs="Times New Roman"/>
        </w:rPr>
      </w:pPr>
    </w:p>
    <w:p w14:paraId="660F8251" w14:textId="3DC44E49" w:rsidR="001824F9" w:rsidRDefault="001824F9" w:rsidP="00C314CC">
      <w:pPr>
        <w:autoSpaceDE w:val="0"/>
        <w:rPr>
          <w:rFonts w:ascii="Times New Roman" w:hAnsi="Times New Roman" w:cs="Times New Roman"/>
          <w:b/>
          <w:szCs w:val="24"/>
        </w:rPr>
      </w:pPr>
      <w:r w:rsidRPr="00A5701A">
        <w:rPr>
          <w:rFonts w:ascii="Times New Roman" w:hAnsi="Times New Roman" w:cs="Times New Roman"/>
          <w:b/>
          <w:szCs w:val="24"/>
        </w:rPr>
        <w:t>RESUMO</w:t>
      </w:r>
    </w:p>
    <w:p w14:paraId="408327F7" w14:textId="23F0487F" w:rsidR="001824F9" w:rsidRPr="00A5701A" w:rsidRDefault="00D34CFD" w:rsidP="00F96E16">
      <w:pPr>
        <w:rPr>
          <w:rFonts w:ascii="Times New Roman" w:hAnsi="Times New Roman" w:cs="Times New Roman"/>
          <w:color w:val="303030"/>
          <w:szCs w:val="24"/>
          <w:shd w:val="clear" w:color="auto" w:fill="FFFFFF"/>
        </w:rPr>
      </w:pPr>
      <w:r w:rsidRPr="00D34CFD">
        <w:rPr>
          <w:rFonts w:ascii="Times New Roman" w:hAnsi="Times New Roman" w:cs="Times New Roman"/>
        </w:rPr>
        <w:t>A discussão em torno da utilização de indicadores que determinam a qualidade de vida já acontece durante muitos anos, tornando-se um tema difícil mediante à abrangência e complexidade do conceito. A expressão “qualidade de vida” teve forte propagação na década de 60 por políticos americanos, utilizando o termo para manifesto político e representava uma sinalização de sucesso político administrativo. Lyndon Baines Johnson, 36º presidente dos Estados Unidos da América, sucessor de John Kennedy, utilizou a expressão discursando em 1964, na Universidade de Michigan. Segundo Day &amp; Janke</w:t>
      </w:r>
      <w:r w:rsidR="00091BB0">
        <w:rPr>
          <w:rFonts w:ascii="Times New Roman" w:hAnsi="Times New Roman" w:cs="Times New Roman"/>
        </w:rPr>
        <w:t>y</w:t>
      </w:r>
      <w:r w:rsidRPr="00D34CFD">
        <w:rPr>
          <w:rFonts w:ascii="Times New Roman" w:hAnsi="Times New Roman" w:cs="Times New Roman"/>
        </w:rPr>
        <w:t xml:space="preserve"> (1996), os discursos naquela época sempre tinham foco no compromisso em proporcionar às pessoas estruturas sociais que lhe conferissem alcançar a felicidade, partindo da premissa da qualidade de vida</w:t>
      </w:r>
      <w:r w:rsidRPr="0014516B">
        <w:rPr>
          <w:rFonts w:ascii="Times New Roman" w:hAnsi="Times New Roman" w:cs="Times New Roman"/>
        </w:rPr>
        <w:t xml:space="preserve">. </w:t>
      </w:r>
      <w:r w:rsidR="009A392D" w:rsidRPr="009A392D">
        <w:rPr>
          <w:rFonts w:ascii="Times New Roman" w:hAnsi="Times New Roman" w:cs="Times New Roman"/>
        </w:rPr>
        <w:t xml:space="preserve">Durante muito tempo, os indicadores de economia foram o principal parâmetro de avaliação de bem-estar </w:t>
      </w:r>
      <w:r w:rsidR="00FD3190">
        <w:rPr>
          <w:rFonts w:ascii="Times New Roman" w:hAnsi="Times New Roman" w:cs="Times New Roman"/>
        </w:rPr>
        <w:t>n</w:t>
      </w:r>
      <w:r w:rsidR="009A392D" w:rsidRPr="009A392D">
        <w:rPr>
          <w:rFonts w:ascii="Times New Roman" w:hAnsi="Times New Roman" w:cs="Times New Roman"/>
        </w:rPr>
        <w:t xml:space="preserve">as cidades. Em outro período, passaram a ser analisados em conjunto com indicadores sociais, observando que problemas como segurança e criminalidade aumentavam mesmo com a riqueza econômica do </w:t>
      </w:r>
      <w:r w:rsidR="00D140CE">
        <w:rPr>
          <w:rFonts w:ascii="Times New Roman" w:hAnsi="Times New Roman" w:cs="Times New Roman"/>
        </w:rPr>
        <w:t>p</w:t>
      </w:r>
      <w:r w:rsidR="009A392D" w:rsidRPr="009A392D">
        <w:rPr>
          <w:rFonts w:ascii="Times New Roman" w:hAnsi="Times New Roman" w:cs="Times New Roman"/>
        </w:rPr>
        <w:t>aís.</w:t>
      </w:r>
      <w:r w:rsidR="009A392D">
        <w:t xml:space="preserve"> </w:t>
      </w:r>
      <w:r w:rsidR="009A392D" w:rsidRPr="00DC5125">
        <w:rPr>
          <w:rFonts w:ascii="Times New Roman" w:hAnsi="Times New Roman" w:cs="Times New Roman"/>
        </w:rPr>
        <w:t>Desse modo, os indicadores sociais eram considerados como fundamentais para classificação d</w:t>
      </w:r>
      <w:r w:rsidR="001A3427">
        <w:rPr>
          <w:rFonts w:ascii="Times New Roman" w:hAnsi="Times New Roman" w:cs="Times New Roman"/>
        </w:rPr>
        <w:t>a</w:t>
      </w:r>
      <w:r w:rsidR="009A392D" w:rsidRPr="00DC5125">
        <w:rPr>
          <w:rFonts w:ascii="Times New Roman" w:hAnsi="Times New Roman" w:cs="Times New Roman"/>
        </w:rPr>
        <w:t xml:space="preserve"> qualidade de vida. Contudo, as informações sociais da época eram limitadas na instrução, renda e moradia. </w:t>
      </w:r>
      <w:r w:rsidR="003E5055" w:rsidRPr="003E5055">
        <w:rPr>
          <w:rFonts w:ascii="Times New Roman" w:hAnsi="Times New Roman" w:cs="Times New Roman"/>
        </w:rPr>
        <w:t xml:space="preserve">Neste modelo, pode-se citar o Índice de Desenvolvimento Humano, que é bastante utilizado  e </w:t>
      </w:r>
      <w:r w:rsidR="00C271D4">
        <w:rPr>
          <w:rFonts w:ascii="Times New Roman" w:hAnsi="Times New Roman" w:cs="Times New Roman"/>
        </w:rPr>
        <w:t>tem limitações</w:t>
      </w:r>
      <w:r w:rsidR="003E5055" w:rsidRPr="003E5055">
        <w:rPr>
          <w:rFonts w:ascii="Times New Roman" w:hAnsi="Times New Roman" w:cs="Times New Roman"/>
        </w:rPr>
        <w:t>,</w:t>
      </w:r>
      <w:r w:rsidR="00C271D4">
        <w:rPr>
          <w:rFonts w:ascii="Times New Roman" w:hAnsi="Times New Roman" w:cs="Times New Roman"/>
        </w:rPr>
        <w:t xml:space="preserve"> pois</w:t>
      </w:r>
      <w:r w:rsidR="003E5055" w:rsidRPr="003E5055">
        <w:rPr>
          <w:rFonts w:ascii="Times New Roman" w:hAnsi="Times New Roman" w:cs="Times New Roman"/>
        </w:rPr>
        <w:t xml:space="preserve"> além dos indicadores de educação, longevidade e PIB per capita, avaliado no IDH, existem outras variáveis apresentadas em  pesquisas que são fundamentais para a determinação de qualidade vida.</w:t>
      </w:r>
      <w:r w:rsidR="003E5055">
        <w:t xml:space="preserve">  </w:t>
      </w:r>
      <w:r w:rsidR="003E5055" w:rsidRPr="003E5055">
        <w:rPr>
          <w:rFonts w:ascii="Times New Roman" w:hAnsi="Times New Roman" w:cs="Times New Roman"/>
        </w:rPr>
        <w:t xml:space="preserve">Há parâmetros estruturantes do espaço urbano que são básicos para gerar qualidade de vida. Dentre eles </w:t>
      </w:r>
      <w:r w:rsidR="003E5055" w:rsidRPr="003E5055">
        <w:rPr>
          <w:rFonts w:ascii="Times New Roman" w:hAnsi="Times New Roman" w:cs="Times New Roman"/>
        </w:rPr>
        <w:lastRenderedPageBreak/>
        <w:t xml:space="preserve">pode-se destacar a infraestrutura urbana, como saneamento básico, moradia, lazer, acesso aos serviços de saúde, mobilidade urbana, </w:t>
      </w:r>
      <w:r w:rsidR="003C7684">
        <w:rPr>
          <w:rFonts w:ascii="Times New Roman" w:hAnsi="Times New Roman" w:cs="Times New Roman"/>
        </w:rPr>
        <w:t xml:space="preserve">redução da </w:t>
      </w:r>
      <w:r w:rsidR="003E5055" w:rsidRPr="003E5055">
        <w:rPr>
          <w:rFonts w:ascii="Times New Roman" w:hAnsi="Times New Roman" w:cs="Times New Roman"/>
        </w:rPr>
        <w:t>poluição e</w:t>
      </w:r>
      <w:r w:rsidR="003C7684">
        <w:rPr>
          <w:rFonts w:ascii="Times New Roman" w:hAnsi="Times New Roman" w:cs="Times New Roman"/>
        </w:rPr>
        <w:t xml:space="preserve"> proteção ao</w:t>
      </w:r>
      <w:r w:rsidR="003E5055" w:rsidRPr="003E5055">
        <w:rPr>
          <w:rFonts w:ascii="Times New Roman" w:hAnsi="Times New Roman" w:cs="Times New Roman"/>
        </w:rPr>
        <w:t xml:space="preserve"> meio-ambiente.</w:t>
      </w:r>
      <w:r w:rsidR="00382468">
        <w:rPr>
          <w:rFonts w:ascii="Times New Roman" w:hAnsi="Times New Roman" w:cs="Times New Roman"/>
        </w:rPr>
        <w:t xml:space="preserve"> Para </w:t>
      </w:r>
      <w:r w:rsidR="0077594D">
        <w:rPr>
          <w:rFonts w:ascii="Times New Roman" w:hAnsi="Times New Roman" w:cs="Times New Roman"/>
        </w:rPr>
        <w:t>o embasamento</w:t>
      </w:r>
      <w:r w:rsidR="00E052AB">
        <w:rPr>
          <w:rFonts w:ascii="Times New Roman" w:hAnsi="Times New Roman" w:cs="Times New Roman"/>
        </w:rPr>
        <w:t xml:space="preserve"> teórico com base documental a que se refere esta pesquisa</w:t>
      </w:r>
      <w:r w:rsidR="00E868C9">
        <w:rPr>
          <w:rFonts w:ascii="Times New Roman" w:hAnsi="Times New Roman" w:cs="Times New Roman"/>
        </w:rPr>
        <w:t>,</w:t>
      </w:r>
      <w:r w:rsidR="0077594D">
        <w:rPr>
          <w:rFonts w:ascii="Times New Roman" w:hAnsi="Times New Roman" w:cs="Times New Roman"/>
        </w:rPr>
        <w:t xml:space="preserve"> </w:t>
      </w:r>
      <w:r w:rsidR="003A653A">
        <w:rPr>
          <w:rFonts w:ascii="Times New Roman" w:hAnsi="Times New Roman" w:cs="Times New Roman"/>
        </w:rPr>
        <w:t xml:space="preserve"> </w:t>
      </w:r>
      <w:r w:rsidR="00E868C9">
        <w:rPr>
          <w:rFonts w:ascii="Times New Roman" w:hAnsi="Times New Roman" w:cs="Times New Roman"/>
        </w:rPr>
        <w:t>f</w:t>
      </w:r>
      <w:r w:rsidR="003A653A">
        <w:rPr>
          <w:rFonts w:ascii="Times New Roman" w:hAnsi="Times New Roman" w:cs="Times New Roman"/>
        </w:rPr>
        <w:t>oram apresentados</w:t>
      </w:r>
      <w:r w:rsidR="0061338F">
        <w:rPr>
          <w:rFonts w:ascii="Times New Roman" w:hAnsi="Times New Roman" w:cs="Times New Roman"/>
        </w:rPr>
        <w:t xml:space="preserve"> os indicadores de qualidade de vida mais relevantes para esta </w:t>
      </w:r>
      <w:r w:rsidR="00E868C9">
        <w:rPr>
          <w:rFonts w:ascii="Times New Roman" w:hAnsi="Times New Roman" w:cs="Times New Roman"/>
        </w:rPr>
        <w:t>análise</w:t>
      </w:r>
      <w:r w:rsidR="0061338F">
        <w:rPr>
          <w:rFonts w:ascii="Times New Roman" w:hAnsi="Times New Roman" w:cs="Times New Roman"/>
        </w:rPr>
        <w:t xml:space="preserve"> como o </w:t>
      </w:r>
      <w:r w:rsidR="0061338F" w:rsidRPr="0061338F">
        <w:rPr>
          <w:rFonts w:ascii="Times New Roman" w:hAnsi="Times New Roman" w:cs="Times New Roman"/>
          <w:bCs/>
        </w:rPr>
        <w:t>World Happiness Report</w:t>
      </w:r>
      <w:r w:rsidR="009336A7">
        <w:rPr>
          <w:rFonts w:ascii="Times New Roman" w:hAnsi="Times New Roman" w:cs="Times New Roman"/>
        </w:rPr>
        <w:t xml:space="preserve">, </w:t>
      </w:r>
      <w:r w:rsidR="0037144E">
        <w:rPr>
          <w:rStyle w:val="Refdenotaderodap"/>
          <w:rFonts w:ascii="Times New Roman" w:hAnsi="Times New Roman" w:cs="Times New Roman"/>
        </w:rPr>
        <w:footnoteReference w:id="2"/>
      </w:r>
      <w:r w:rsidR="009336A7">
        <w:rPr>
          <w:rFonts w:ascii="Times New Roman" w:hAnsi="Times New Roman" w:cs="Times New Roman"/>
        </w:rPr>
        <w:t xml:space="preserve">Método </w:t>
      </w:r>
      <w:r w:rsidR="009336A7" w:rsidRPr="009336A7">
        <w:rPr>
          <w:rFonts w:ascii="Times New Roman" w:hAnsi="Times New Roman" w:cs="Times New Roman"/>
          <w:bCs/>
        </w:rPr>
        <w:t>WHOQOL</w:t>
      </w:r>
      <w:r w:rsidR="00840A94">
        <w:rPr>
          <w:rFonts w:ascii="Times New Roman" w:hAnsi="Times New Roman" w:cs="Times New Roman"/>
          <w:bCs/>
        </w:rPr>
        <w:t xml:space="preserve"> </w:t>
      </w:r>
      <w:r w:rsidR="0037144E">
        <w:rPr>
          <w:rStyle w:val="Refdenotaderodap"/>
          <w:rFonts w:ascii="Times New Roman" w:hAnsi="Times New Roman" w:cs="Times New Roman"/>
          <w:bCs/>
        </w:rPr>
        <w:footnoteReference w:id="3"/>
      </w:r>
      <w:r w:rsidR="00840A94">
        <w:rPr>
          <w:rFonts w:ascii="Times New Roman" w:hAnsi="Times New Roman" w:cs="Times New Roman"/>
          <w:bCs/>
        </w:rPr>
        <w:t>e o</w:t>
      </w:r>
      <w:r w:rsidR="008E6515">
        <w:rPr>
          <w:rFonts w:ascii="Times New Roman" w:hAnsi="Times New Roman" w:cs="Times New Roman"/>
          <w:bCs/>
        </w:rPr>
        <w:t xml:space="preserve"> Relatório de Dese</w:t>
      </w:r>
      <w:r w:rsidR="001D78A1">
        <w:rPr>
          <w:rFonts w:ascii="Times New Roman" w:hAnsi="Times New Roman" w:cs="Times New Roman"/>
          <w:bCs/>
        </w:rPr>
        <w:t>n</w:t>
      </w:r>
      <w:r w:rsidR="008E6515">
        <w:rPr>
          <w:rFonts w:ascii="Times New Roman" w:hAnsi="Times New Roman" w:cs="Times New Roman"/>
          <w:bCs/>
        </w:rPr>
        <w:t>volvimento Humano</w:t>
      </w:r>
      <w:r w:rsidR="0037144E">
        <w:rPr>
          <w:rFonts w:ascii="Times New Roman" w:hAnsi="Times New Roman" w:cs="Times New Roman"/>
          <w:bCs/>
        </w:rPr>
        <w:t>.</w:t>
      </w:r>
      <w:r w:rsidR="0037144E">
        <w:rPr>
          <w:rStyle w:val="Refdenotaderodap"/>
          <w:rFonts w:ascii="Times New Roman" w:hAnsi="Times New Roman" w:cs="Times New Roman"/>
        </w:rPr>
        <w:footnoteReference w:id="4"/>
      </w:r>
      <w:r w:rsidR="00B76C27">
        <w:rPr>
          <w:rFonts w:ascii="Times New Roman" w:hAnsi="Times New Roman" w:cs="Times New Roman"/>
          <w:bCs/>
        </w:rPr>
        <w:t xml:space="preserve"> </w:t>
      </w:r>
      <w:r w:rsidR="001824F9" w:rsidRPr="00A5701A">
        <w:rPr>
          <w:rFonts w:ascii="Times New Roman" w:hAnsi="Times New Roman" w:cs="Times New Roman"/>
          <w:szCs w:val="24"/>
        </w:rPr>
        <w:t>Segundo a Organização das Nações Unidas (ONU)</w:t>
      </w:r>
      <w:r w:rsidR="00BC4B10">
        <w:rPr>
          <w:rStyle w:val="Refdenotaderodap"/>
          <w:rFonts w:ascii="Times New Roman" w:hAnsi="Times New Roman" w:cs="Times New Roman"/>
          <w:szCs w:val="24"/>
        </w:rPr>
        <w:footnoteReference w:id="5"/>
      </w:r>
      <w:r w:rsidR="001824F9" w:rsidRPr="00A5701A">
        <w:rPr>
          <w:rFonts w:ascii="Times New Roman" w:hAnsi="Times New Roman" w:cs="Times New Roman"/>
          <w:szCs w:val="24"/>
        </w:rPr>
        <w:t>, 54% da população mundial vive em cidades, com expectativa de chegar, em meados deste século, a 66%. Indicando que a população mundial chegará a 8,6 bilhões até o ano de 2030, havendo um aumento significativo de 1 bilhão de pessoas no mundo em apenas 13 anos, de 2017 a 2030. Para 2050, haverá um aumento populacional mundial de aproximadamente 9,6 bilhões, sendo que destes, 70% viverá nas áreas urbanas das cidades. As cidades que são interligadas a informação, comunicação, com infraestrutura e suporte tecnológico, com possibilidade de ser sustentável, seja na mobilidade, na comunicação entre outros, é um atrativo para a migração em busca de “qualidade de vida”, sendo este um fator relevante para o forte adensamento dos grandes centros</w:t>
      </w:r>
      <w:r w:rsidR="00A84ABA">
        <w:rPr>
          <w:rFonts w:ascii="Times New Roman" w:hAnsi="Times New Roman" w:cs="Times New Roman"/>
          <w:szCs w:val="24"/>
        </w:rPr>
        <w:t xml:space="preserve"> urbanos</w:t>
      </w:r>
      <w:r w:rsidR="001824F9" w:rsidRPr="00A5701A">
        <w:rPr>
          <w:rFonts w:ascii="Times New Roman" w:hAnsi="Times New Roman" w:cs="Times New Roman"/>
          <w:szCs w:val="24"/>
        </w:rPr>
        <w:t xml:space="preserve">. </w:t>
      </w:r>
      <w:r w:rsidR="001824F9" w:rsidRPr="00A5701A">
        <w:rPr>
          <w:rFonts w:ascii="Times New Roman" w:hAnsi="Times New Roman" w:cs="Times New Roman"/>
          <w:color w:val="303030"/>
          <w:szCs w:val="24"/>
          <w:shd w:val="clear" w:color="auto" w:fill="FFFFFF"/>
        </w:rPr>
        <w:t>Existem indicadores de qualidade de vida para as cidades, de empresas que são conhecidas, respeitadas e utilizados mundialmente. Entretanto, foi observado que as cidades densas nesses rankings não estão bem posicionadas, mostrando que elas têm problemas.</w:t>
      </w:r>
      <w:r w:rsidR="001824F9" w:rsidRPr="00A5701A">
        <w:rPr>
          <w:rFonts w:ascii="Times New Roman" w:hAnsi="Times New Roman" w:cs="Times New Roman"/>
          <w:szCs w:val="24"/>
        </w:rPr>
        <w:t xml:space="preserve"> Em face do exposto real e crescente, para que se possa conhecer melhor as realidades das cidades mundiais em um processo de urbanização acelerado, e para que </w:t>
      </w:r>
      <w:r w:rsidR="00E93E9B">
        <w:rPr>
          <w:rFonts w:ascii="Times New Roman" w:hAnsi="Times New Roman" w:cs="Times New Roman"/>
          <w:szCs w:val="24"/>
        </w:rPr>
        <w:t>possam ser</w:t>
      </w:r>
      <w:r w:rsidR="001824F9" w:rsidRPr="00A5701A">
        <w:rPr>
          <w:rFonts w:ascii="Times New Roman" w:hAnsi="Times New Roman" w:cs="Times New Roman"/>
          <w:szCs w:val="24"/>
        </w:rPr>
        <w:t xml:space="preserve"> tomadas medidas, que mantenham ou proporcionem qualidade de vida, associadas a ferramentas já utilizadas pelos órgãos gestores do espaço urbano nas cidades, através de políticas públicas, se faz necessário saber se há correlação entre densidade populacional e qualidade de vida, assim como, quais são os fatores que geram a sua perda.</w:t>
      </w:r>
    </w:p>
    <w:p w14:paraId="344C30A3" w14:textId="77777777" w:rsidR="00136A43" w:rsidRPr="00A5701A" w:rsidRDefault="00136A43" w:rsidP="001824F9">
      <w:pPr>
        <w:pStyle w:val="NormalWeb"/>
        <w:spacing w:before="0" w:beforeAutospacing="0" w:after="0" w:afterAutospacing="0" w:line="360" w:lineRule="auto"/>
      </w:pPr>
    </w:p>
    <w:p w14:paraId="65B6EA90" w14:textId="5B891089" w:rsidR="001824F9" w:rsidRPr="00A5701A" w:rsidRDefault="001824F9" w:rsidP="001824F9">
      <w:pPr>
        <w:pStyle w:val="NormalWeb"/>
        <w:spacing w:before="0" w:beforeAutospacing="0" w:after="0" w:afterAutospacing="0" w:line="360" w:lineRule="auto"/>
      </w:pPr>
      <w:r w:rsidRPr="00A5701A">
        <w:t>Palavras-Chave: Cidades</w:t>
      </w:r>
      <w:r w:rsidR="00A7474C" w:rsidRPr="00A5701A">
        <w:t>;</w:t>
      </w:r>
      <w:r w:rsidRPr="00A5701A">
        <w:t xml:space="preserve"> Qualidade de vida</w:t>
      </w:r>
      <w:r w:rsidR="00A7474C" w:rsidRPr="00A5701A">
        <w:t>;</w:t>
      </w:r>
      <w:r w:rsidRPr="00A5701A">
        <w:t xml:space="preserve"> Densidade Populacional.</w:t>
      </w:r>
    </w:p>
    <w:p w14:paraId="35518F19" w14:textId="4768448D" w:rsidR="001824F9" w:rsidRPr="00A5701A" w:rsidRDefault="001824F9" w:rsidP="001824F9">
      <w:pPr>
        <w:rPr>
          <w:rFonts w:ascii="Times New Roman" w:hAnsi="Times New Roman" w:cs="Times New Roman"/>
          <w:b/>
          <w:szCs w:val="24"/>
        </w:rPr>
      </w:pPr>
    </w:p>
    <w:p w14:paraId="061A9E95" w14:textId="62517413" w:rsidR="00F45E98" w:rsidRDefault="00F45E98" w:rsidP="001824F9">
      <w:pPr>
        <w:rPr>
          <w:rFonts w:ascii="Times New Roman" w:hAnsi="Times New Roman" w:cs="Times New Roman"/>
          <w:b/>
          <w:szCs w:val="24"/>
        </w:rPr>
      </w:pPr>
    </w:p>
    <w:p w14:paraId="69DEF4EF" w14:textId="72EB2466" w:rsidR="00A5701A" w:rsidRDefault="00A5701A" w:rsidP="001824F9">
      <w:pPr>
        <w:rPr>
          <w:rFonts w:ascii="Times New Roman" w:hAnsi="Times New Roman" w:cs="Times New Roman"/>
          <w:b/>
          <w:szCs w:val="24"/>
        </w:rPr>
      </w:pPr>
    </w:p>
    <w:p w14:paraId="41E05B4F" w14:textId="571BC216" w:rsidR="0037144E" w:rsidRDefault="0037144E" w:rsidP="001824F9">
      <w:pPr>
        <w:rPr>
          <w:rFonts w:ascii="Times New Roman" w:hAnsi="Times New Roman" w:cs="Times New Roman"/>
          <w:b/>
          <w:szCs w:val="24"/>
        </w:rPr>
      </w:pPr>
    </w:p>
    <w:p w14:paraId="5EF19E68" w14:textId="7656E281" w:rsidR="0037144E" w:rsidRDefault="0037144E" w:rsidP="001824F9">
      <w:pPr>
        <w:rPr>
          <w:rFonts w:ascii="Times New Roman" w:hAnsi="Times New Roman" w:cs="Times New Roman"/>
          <w:b/>
          <w:szCs w:val="24"/>
        </w:rPr>
      </w:pPr>
    </w:p>
    <w:p w14:paraId="7E3C7030" w14:textId="6FA8CF0E" w:rsidR="0037144E" w:rsidRDefault="0037144E" w:rsidP="001824F9">
      <w:pPr>
        <w:rPr>
          <w:rFonts w:ascii="Times New Roman" w:hAnsi="Times New Roman" w:cs="Times New Roman"/>
          <w:b/>
          <w:szCs w:val="24"/>
        </w:rPr>
      </w:pPr>
    </w:p>
    <w:p w14:paraId="3A1C4266" w14:textId="77777777" w:rsidR="0037144E" w:rsidRDefault="0037144E" w:rsidP="001824F9">
      <w:pPr>
        <w:rPr>
          <w:rFonts w:ascii="Times New Roman" w:hAnsi="Times New Roman" w:cs="Times New Roman"/>
          <w:b/>
          <w:szCs w:val="24"/>
        </w:rPr>
      </w:pPr>
    </w:p>
    <w:p w14:paraId="00F01FFF" w14:textId="77777777" w:rsidR="00A5701A" w:rsidRPr="00A5701A" w:rsidRDefault="00A5701A" w:rsidP="001824F9">
      <w:pPr>
        <w:rPr>
          <w:rFonts w:ascii="Times New Roman" w:hAnsi="Times New Roman" w:cs="Times New Roman"/>
          <w:b/>
          <w:szCs w:val="24"/>
        </w:rPr>
      </w:pPr>
    </w:p>
    <w:p w14:paraId="316F057F" w14:textId="77777777" w:rsidR="00796C3E" w:rsidRPr="0056375F" w:rsidRDefault="00796C3E" w:rsidP="00AF6B21">
      <w:pPr>
        <w:jc w:val="left"/>
        <w:rPr>
          <w:rFonts w:ascii="Times New Roman" w:hAnsi="Times New Roman" w:cs="Times New Roman"/>
          <w:b/>
          <w:szCs w:val="24"/>
        </w:rPr>
      </w:pPr>
    </w:p>
    <w:p w14:paraId="178487E1" w14:textId="61C71A0E" w:rsidR="00AF6B21" w:rsidRPr="00BC57A9" w:rsidRDefault="00C82BB5" w:rsidP="00AF6B21">
      <w:pPr>
        <w:jc w:val="left"/>
        <w:rPr>
          <w:rFonts w:ascii="Times New Roman" w:hAnsi="Times New Roman" w:cs="Times New Roman"/>
          <w:b/>
          <w:szCs w:val="24"/>
          <w:lang w:val="en-US"/>
        </w:rPr>
      </w:pPr>
      <w:r w:rsidRPr="00BC57A9">
        <w:rPr>
          <w:rFonts w:ascii="Times New Roman" w:hAnsi="Times New Roman" w:cs="Times New Roman"/>
          <w:b/>
          <w:szCs w:val="24"/>
          <w:lang w:val="en-US"/>
        </w:rPr>
        <w:t xml:space="preserve">ABSTRACT </w:t>
      </w:r>
    </w:p>
    <w:p w14:paraId="3FF38E8E" w14:textId="365586C9" w:rsidR="00FC0AE7" w:rsidRPr="00C173BB" w:rsidRDefault="00C173BB" w:rsidP="00C173BB">
      <w:pPr>
        <w:pStyle w:val="NormalWeb"/>
        <w:spacing w:before="0" w:beforeAutospacing="0" w:after="0" w:afterAutospacing="0" w:line="360" w:lineRule="auto"/>
        <w:rPr>
          <w:lang w:val="en-US"/>
        </w:rPr>
      </w:pPr>
      <w:r w:rsidRPr="00C173BB">
        <w:rPr>
          <w:lang w:val="en-US"/>
        </w:rPr>
        <w:t xml:space="preserve">The discussion around the use of indicators that determine quality of life has been going on for many years, becoming a difficult topic due to the scope and complexity of the concept. The expression “quality of life” had a strong spread in the 1960s by American politicians, using the term for political manifesto and represented a sign of administrative political success. Lyndon Baines Johnson, 36th president of the United States of America, successor to John Kennedy, used the expression speaking in 1964, at the University of Michigan. According to Day &amp; Jankey (1996), speeches at that time always focused on the commitment to provide people with social structures that would enable them to achieve happiness, based on the premise of quality of life. For a long time, economic indicators were the main parameter for assessing well-being in cities. In another period, they began to be analyzed in conjunction with social indicators, noting that problems such as security and crime increased even with the country's economic wealth. Thus, social indicators were considered to be fundamental for the classification of quality of life. However, social information at the time was limited in education, income and housing. In this model, we can mention the Human Development Index, which is widely used and has limitations, because in addition to the indicators of education, longevity and GDP per capita, evaluated in the HDI, there are other variables presented in research that are fundamental for determining quality of life. There are structural parameters of the urban space that are basic to generate quality of life. Among them, we can highlight the urban infrastructure, such as basic sanitation, housing, leisure, access to health services, urban mobility, reduction of pollution and protection of the environment. For the theoretical basis with documentary basis to which this research refers, the most relevant quality of life indicators for this analysis were presented, such as the World Happiness Report, WHOQOL Method and the Human Development Report. According to the United Nations (UN), 54% of the world population lives in cities, with the expectation of reaching 66% in the middle of this century. Indicating that the world population will reach 8.6 billion by the year 2030, with a significant increase of 1 billion people in the world in just 13 years, from 2017 to 2030. For 2050, there will be an increase in the world population of approximately 9, 6 billion, of which 70% will live in urban areas of cities. </w:t>
      </w:r>
      <w:r w:rsidRPr="00C173BB">
        <w:rPr>
          <w:lang w:val="en-US"/>
        </w:rPr>
        <w:lastRenderedPageBreak/>
        <w:t>Cities that are interconnected to information, communication, with infrastructure and technological support, with the possibility of being sustainable, whether in mobility, in communication, among others, are an attraction for migration in search of “quality of life”, which is a factor relevant to the strong density of large urban centers. There are quality of life indicators for cities, for companies that are known, respected and used worldwide. However, it was observed that the dense cities in these rankings are not well positioned, showing that they have problems. In view of the real and growing exposed, so that the realities of world cities can be better known in a process of accelerated urbanization, and so that measures can be taken, which maintain or provide quality of life, associated with tools already used by Organs management bodies of urban space in cities, through public policies, it is necessary to know if there is a correlation between population density and quality of life, as well as, what are the factors that generate their loss.</w:t>
      </w:r>
    </w:p>
    <w:p w14:paraId="1BB101C3" w14:textId="77777777" w:rsidR="00C173BB" w:rsidRDefault="00C173BB" w:rsidP="00D52BC6">
      <w:pPr>
        <w:pStyle w:val="NormalWeb"/>
        <w:spacing w:before="0" w:beforeAutospacing="0" w:after="0" w:afterAutospacing="0" w:line="360" w:lineRule="auto"/>
        <w:rPr>
          <w:lang w:val="en-US"/>
        </w:rPr>
      </w:pPr>
    </w:p>
    <w:p w14:paraId="5C6AA1EE" w14:textId="59928594" w:rsidR="00C173BB" w:rsidRDefault="00C173BB" w:rsidP="00D52BC6">
      <w:pPr>
        <w:pStyle w:val="NormalWeb"/>
        <w:spacing w:before="0" w:beforeAutospacing="0" w:after="0" w:afterAutospacing="0" w:line="360" w:lineRule="auto"/>
        <w:rPr>
          <w:lang w:val="en-US"/>
        </w:rPr>
      </w:pPr>
      <w:r w:rsidRPr="00C173BB">
        <w:rPr>
          <w:lang w:val="en-US"/>
        </w:rPr>
        <w:t>Keywords: Cities; Quality of life; Po</w:t>
      </w:r>
      <w:r w:rsidR="001F2D40">
        <w:rPr>
          <w:lang w:val="en-US"/>
        </w:rPr>
        <w:t>pulation</w:t>
      </w:r>
      <w:r w:rsidRPr="00C173BB">
        <w:rPr>
          <w:lang w:val="en-US"/>
        </w:rPr>
        <w:t xml:space="preserve"> density.</w:t>
      </w:r>
    </w:p>
    <w:p w14:paraId="4529972D" w14:textId="77777777" w:rsidR="00C173BB" w:rsidRPr="00C173BB" w:rsidRDefault="00C173BB" w:rsidP="00D52BC6">
      <w:pPr>
        <w:pStyle w:val="NormalWeb"/>
        <w:spacing w:before="0" w:beforeAutospacing="0" w:after="0" w:afterAutospacing="0" w:line="360" w:lineRule="auto"/>
        <w:rPr>
          <w:lang w:val="en-US"/>
        </w:rPr>
      </w:pPr>
    </w:p>
    <w:p w14:paraId="44E16B34" w14:textId="24BDB928" w:rsidR="001F45D3" w:rsidRPr="00A5701A" w:rsidRDefault="0008671F" w:rsidP="007E25CF">
      <w:pPr>
        <w:pStyle w:val="NormalWeb"/>
        <w:numPr>
          <w:ilvl w:val="0"/>
          <w:numId w:val="1"/>
        </w:numPr>
        <w:spacing w:before="0" w:beforeAutospacing="0" w:after="0" w:afterAutospacing="0" w:line="360" w:lineRule="auto"/>
        <w:ind w:left="426" w:hanging="426"/>
        <w:rPr>
          <w:b/>
          <w:bCs/>
          <w:lang w:val="en-US"/>
        </w:rPr>
      </w:pPr>
      <w:r w:rsidRPr="00A5701A">
        <w:rPr>
          <w:b/>
          <w:bCs/>
        </w:rPr>
        <w:t>INTRODUÇÃO</w:t>
      </w:r>
    </w:p>
    <w:p w14:paraId="222D59C5" w14:textId="74F8EAAA" w:rsidR="000B283B" w:rsidRPr="00A5701A" w:rsidRDefault="001F45D3" w:rsidP="00737D94">
      <w:pPr>
        <w:pStyle w:val="NormalWeb"/>
        <w:spacing w:before="0" w:beforeAutospacing="0" w:after="0" w:afterAutospacing="0" w:line="360" w:lineRule="auto"/>
      </w:pPr>
      <w:r w:rsidRPr="00A5701A">
        <w:t xml:space="preserve">A presente pesquisa parte do problema que há uma correlação entre densidade e qualidade de vida, observando que nos rankings conhecidos e considerados, as cidades densas não possuem uma boa colocação, verificando que elas têm problemas. Dentre as pesquisas realizadas por organizações de alta confiabilidade, com repercussões mundiais, que abordam o tema densidade populacional através dos anos, e que acompanham as projeções de crescimento da área urbana, se pode destacar as apresentadas pela ONU.  Observando a linha do tempo, Robert Ezra Park (1916), </w:t>
      </w:r>
      <w:r w:rsidR="00991A05">
        <w:t xml:space="preserve"> </w:t>
      </w:r>
      <w:r w:rsidRPr="00A5701A">
        <w:t>já observava os conflitos entre a concentração populacional na área urbana e as limitações dos recursos disponíveis que as cidades poderiam proporcionar</w:t>
      </w:r>
      <w:r w:rsidR="00D12AE2" w:rsidRPr="00A5701A">
        <w:t>.</w:t>
      </w:r>
      <w:r w:rsidR="00A87E86">
        <w:t xml:space="preserve"> </w:t>
      </w:r>
      <w:r w:rsidR="000B283B" w:rsidRPr="00A5701A">
        <w:t>Ainda segundo Park, a cidade é produto dos hábitos e costumes das pessoas que nela vivem. Tendo como consequência uma organização tanto moral quanto física, sendo est</w:t>
      </w:r>
      <w:r w:rsidR="007F44E4" w:rsidRPr="00A5701A">
        <w:t>a</w:t>
      </w:r>
      <w:r w:rsidR="000B283B" w:rsidRPr="00A5701A">
        <w:t xml:space="preserve"> estrutura da cidade que impressiona por seu tamanho e complexidade. Observa-se a partir da vivência das pessoas no espaço urbano, que a cidade além do espaço físico, é um espaço de interação social, que deve ser preservado, levando-se em consideração sua estrutura física, aliada à sociabilidade humana que está diretamente interligada à qualidade de vida. Uma pesquisa de grande relevância relacionada ao espaço urbano, baseadas na densidade e territorialidade, foi realizada pelo ornitólogo inglês H.E. Howard em 1920. Howard utilizou o estudo comparativo entre animais, fazendo associação com os seres humanos e a influência no ambiente. </w:t>
      </w:r>
    </w:p>
    <w:p w14:paraId="39BBD2DE" w14:textId="4AA77D35" w:rsidR="00847D71" w:rsidRPr="00A5701A" w:rsidRDefault="000B283B" w:rsidP="007F44E4">
      <w:pPr>
        <w:pStyle w:val="NormalWeb"/>
        <w:spacing w:before="0" w:beforeAutospacing="0" w:after="0" w:afterAutospacing="0" w:line="360" w:lineRule="auto"/>
        <w:rPr>
          <w:bCs/>
        </w:rPr>
      </w:pPr>
      <w:r w:rsidRPr="00A5701A">
        <w:lastRenderedPageBreak/>
        <w:t>Segundo Edward T. Hall (1966), Howard, foi o pioneiro a tratar questões de territorialidade no seu livro Territory in Bird Life (1920), com um nível complexo de detalhamento, observando que naturalistas do século XVII, já haviam relatado vários fatos abrangendo a territorialidade.</w:t>
      </w:r>
      <w:r w:rsidR="00110990" w:rsidRPr="00A5701A">
        <w:t xml:space="preserve"> </w:t>
      </w:r>
      <w:r w:rsidR="00AB6BB5">
        <w:t>E</w:t>
      </w:r>
      <w:r w:rsidR="00110990" w:rsidRPr="00A5701A">
        <w:t>m seu livro a Dimensão Oculta (1966),</w:t>
      </w:r>
      <w:r w:rsidR="00C96C08">
        <w:t xml:space="preserve"> relata</w:t>
      </w:r>
      <w:r w:rsidR="00110990" w:rsidRPr="00A5701A">
        <w:t xml:space="preserve"> as novas descobertas envolvendo a territorialidade, como a do especialista em psicologia animal H. Hediger (1955), que em suas pesquisas, garantia a reprodução da espécie através do controle de densidade, observando que ela impõe limites, como espaços específicos para aprendizagem, lazer e “esconderijos seguros”. Nestes estudos Hediger descreve um espaçamento virtual em torno dos animais, como um tipo de bolha, variável de tamanho de acordo com a espécie, com a função de manter uma determinada distância de outros animais que podem ser uma ameaça ao seu </w:t>
      </w:r>
      <w:r w:rsidR="00110990" w:rsidRPr="00E3295C">
        <w:t>território</w:t>
      </w:r>
      <w:r w:rsidR="00110990" w:rsidRPr="003C1B9F">
        <w:t>.</w:t>
      </w:r>
      <w:r w:rsidR="00B045B2" w:rsidRPr="003C1B9F">
        <w:t xml:space="preserve"> As cidades que oferecem um mínimo de infraestrutura</w:t>
      </w:r>
      <w:r w:rsidR="000727C6" w:rsidRPr="003C1B9F">
        <w:t xml:space="preserve"> adequada</w:t>
      </w:r>
      <w:r w:rsidR="00DF2415" w:rsidRPr="003C1B9F">
        <w:t xml:space="preserve"> como</w:t>
      </w:r>
      <w:r w:rsidR="00B045B2" w:rsidRPr="003C1B9F">
        <w:t>,</w:t>
      </w:r>
      <w:r w:rsidR="00DF2415" w:rsidRPr="003C1B9F">
        <w:t xml:space="preserve"> moradia, trabalho, saúde, educação e mobilidade urbana,</w:t>
      </w:r>
      <w:r w:rsidR="00B045B2" w:rsidRPr="003C1B9F">
        <w:t xml:space="preserve"> são atrativas para a migração populacional.</w:t>
      </w:r>
      <w:r w:rsidR="003C1B9F">
        <w:t xml:space="preserve"> </w:t>
      </w:r>
      <w:r w:rsidR="00B045B2" w:rsidRPr="00A5701A">
        <w:t xml:space="preserve"> E mesmo com a legislação que definem as políticas públicas nas cidades, de acordo com o seu tamanho e complexidade, pode não ser satisfatória para criar um espaço igualitário para toda a população que nela habita. O Plano Diretor brasileiro, é uma lei municipal, estabelecido pela Constituição Federal de 1988, e regulamentado pelo Estatuto da Cidade, é instrumento fundamental para a política de desenvolvimento dos municípios, e orientação do poder público, e iniciativa privada, na construção dos espaços urbanos</w:t>
      </w:r>
      <w:r w:rsidR="0009383F">
        <w:t xml:space="preserve"> qualitativos e equitativos</w:t>
      </w:r>
      <w:r w:rsidR="00B045B2" w:rsidRPr="00A5701A">
        <w:t>. Entretanto, em algumas cidades brasileiras, os espaços ainda são segregados, repercutindo diretamente n</w:t>
      </w:r>
      <w:r w:rsidR="00C35124">
        <w:t>o</w:t>
      </w:r>
      <w:r w:rsidR="00B045B2" w:rsidRPr="00A5701A">
        <w:t xml:space="preserve"> </w:t>
      </w:r>
      <w:r w:rsidR="00C35124">
        <w:t>bem estar dos habitantes</w:t>
      </w:r>
      <w:r w:rsidR="00B045B2" w:rsidRPr="0017594B">
        <w:t>.</w:t>
      </w:r>
      <w:r w:rsidR="00AE01D0" w:rsidRPr="0017594B">
        <w:t xml:space="preserve"> O adensamento populacional ocorre de formas distintas</w:t>
      </w:r>
      <w:r w:rsidR="00E85B7E" w:rsidRPr="0017594B">
        <w:t>, n</w:t>
      </w:r>
      <w:r w:rsidR="00AE01D0" w:rsidRPr="0017594B">
        <w:t>as áreas com mais infraestrutura da cidade, por habitantes que possuem m</w:t>
      </w:r>
      <w:r w:rsidR="0031789A" w:rsidRPr="0017594B">
        <w:t xml:space="preserve">elhores </w:t>
      </w:r>
      <w:r w:rsidR="00AE01D0" w:rsidRPr="0017594B">
        <w:t xml:space="preserve"> condições </w:t>
      </w:r>
      <w:r w:rsidR="0031789A" w:rsidRPr="0017594B">
        <w:t>financeiras</w:t>
      </w:r>
      <w:r w:rsidR="00AE01D0" w:rsidRPr="0017594B">
        <w:t>,</w:t>
      </w:r>
      <w:r w:rsidR="00F9426C" w:rsidRPr="0017594B">
        <w:t xml:space="preserve"> </w:t>
      </w:r>
      <w:r w:rsidR="00AE01D0" w:rsidRPr="0017594B">
        <w:t>e</w:t>
      </w:r>
      <w:r w:rsidR="00AE01D0" w:rsidRPr="00A5701A">
        <w:t xml:space="preserve"> nas áreas d</w:t>
      </w:r>
      <w:r w:rsidR="00337A13">
        <w:t>eficitárias</w:t>
      </w:r>
      <w:r w:rsidR="00AE01D0" w:rsidRPr="00A5701A">
        <w:t xml:space="preserve">  como é o caso do Brasil, ocupada pela população de baixa renda e nível educacional</w:t>
      </w:r>
      <w:r w:rsidR="00847D71" w:rsidRPr="00A5701A">
        <w:t>. Observando as projeções de forte adensamento populacional, se faz necessário o estudo e a análise de quais elementos são necessários aos grandes centros urbanos, para a aplicação de alternativas, que comporte esse número significativo de pessoas no mesmo espaço urbano, preservando ou proporcionando a qualidade de vida</w:t>
      </w:r>
      <w:r w:rsidR="00847D71" w:rsidRPr="004D5162">
        <w:t>.</w:t>
      </w:r>
      <w:r w:rsidR="004D5162">
        <w:t xml:space="preserve"> De acordo com essa realidade</w:t>
      </w:r>
      <w:r w:rsidR="00E37E8A">
        <w:t>,</w:t>
      </w:r>
      <w:r w:rsidR="00847D71" w:rsidRPr="004D5162">
        <w:t xml:space="preserve"> </w:t>
      </w:r>
      <w:r w:rsidR="00847D71" w:rsidRPr="00A5701A">
        <w:t xml:space="preserve">necessitamos conhecer melhor as cidades mundiais em um processo de urbanização acelerado, para posteriormente ser colocado em prática na elaboração do Planejamento Urbano, complementando outras ferramentas já utilizadas, como por exemplo, as legislações urbanísticas de cada município. Nesta pesquisa estudou-se a correlação entre qualidade de vida e densidade. Como contribuição foi proposto </w:t>
      </w:r>
      <w:r w:rsidR="00847D71" w:rsidRPr="00A5701A">
        <w:rPr>
          <w:bCs/>
        </w:rPr>
        <w:t xml:space="preserve">mais duas variáveis, como indicador de qualidade de vida na avaliação das cidades, a serem </w:t>
      </w:r>
      <w:r w:rsidR="00847D71" w:rsidRPr="00A5701A">
        <w:rPr>
          <w:bCs/>
        </w:rPr>
        <w:lastRenderedPageBreak/>
        <w:t>consideradas por profissionais que irão fazer projetos, ou a gestão do espaço público, a partir da plataforma e da metodologia da empresa Numbeo, Quality of life Index</w:t>
      </w:r>
      <w:r w:rsidR="00D87076">
        <w:rPr>
          <w:rStyle w:val="Refdenotaderodap"/>
          <w:bCs/>
        </w:rPr>
        <w:footnoteReference w:id="6"/>
      </w:r>
      <w:r w:rsidR="00847D71" w:rsidRPr="00A5701A">
        <w:rPr>
          <w:bCs/>
        </w:rPr>
        <w:t xml:space="preserve">.  </w:t>
      </w:r>
    </w:p>
    <w:p w14:paraId="24B75C72" w14:textId="75956317" w:rsidR="00AE01D0" w:rsidRPr="00A5701A" w:rsidRDefault="00AE01D0" w:rsidP="00AE01D0">
      <w:pPr>
        <w:ind w:firstLine="567"/>
        <w:rPr>
          <w:rFonts w:ascii="Times New Roman" w:hAnsi="Times New Roman" w:cs="Times New Roman"/>
          <w:szCs w:val="24"/>
        </w:rPr>
      </w:pPr>
    </w:p>
    <w:p w14:paraId="6E30E80C" w14:textId="6581C8FD" w:rsidR="0014299B" w:rsidRPr="00A5701A" w:rsidRDefault="00EB436F" w:rsidP="0014299B">
      <w:pPr>
        <w:pStyle w:val="NormalWeb"/>
        <w:numPr>
          <w:ilvl w:val="0"/>
          <w:numId w:val="1"/>
        </w:numPr>
        <w:spacing w:before="0" w:beforeAutospacing="0" w:after="0" w:afterAutospacing="0" w:line="360" w:lineRule="auto"/>
        <w:ind w:left="426"/>
        <w:rPr>
          <w:b/>
          <w:bCs/>
          <w:lang w:val="en-US"/>
        </w:rPr>
      </w:pPr>
      <w:r w:rsidRPr="00A5701A">
        <w:t xml:space="preserve"> </w:t>
      </w:r>
      <w:r w:rsidRPr="00A5701A">
        <w:rPr>
          <w:b/>
          <w:bCs/>
        </w:rPr>
        <w:t>MATERIAIS E MÉTODOS</w:t>
      </w:r>
    </w:p>
    <w:p w14:paraId="2183C4C3" w14:textId="025F349B" w:rsidR="00226050" w:rsidRPr="00A5701A" w:rsidRDefault="008D48E3" w:rsidP="00226050">
      <w:pPr>
        <w:pStyle w:val="NormalWeb"/>
        <w:spacing w:before="0" w:beforeAutospacing="0" w:after="0" w:afterAutospacing="0" w:line="360" w:lineRule="auto"/>
        <w:rPr>
          <w:bCs/>
          <w:color w:val="000000" w:themeColor="text1"/>
        </w:rPr>
      </w:pPr>
      <w:r w:rsidRPr="00A5701A">
        <w:t>O objetivo dessa pesquisa é apresentar se há correlação entre densidade e qualidade de vida. Além de</w:t>
      </w:r>
      <w:r w:rsidR="00CF47D7">
        <w:t>,</w:t>
      </w:r>
      <w:r w:rsidRPr="00A5701A">
        <w:t xml:space="preserve"> verificar qual a significância de colocar a densidade como uma variável no índice de qualidade de vida, apresentar quais são as variáveis que </w:t>
      </w:r>
      <w:r w:rsidRPr="00A5701A">
        <w:rPr>
          <w:bCs/>
        </w:rPr>
        <w:t>causam a perda de qualidade de vida nas cidades, utilizando como base,</w:t>
      </w:r>
      <w:r w:rsidRPr="00A5701A">
        <w:t xml:space="preserve"> </w:t>
      </w:r>
      <w:r w:rsidRPr="00A5701A">
        <w:rPr>
          <w:bCs/>
        </w:rPr>
        <w:t xml:space="preserve">o Quality of Life Index da Numbeo. </w:t>
      </w:r>
      <w:r w:rsidR="009701D0" w:rsidRPr="00A5701A">
        <w:rPr>
          <w:bCs/>
        </w:rPr>
        <w:t xml:space="preserve">Como contribuição </w:t>
      </w:r>
      <w:r w:rsidR="00204278">
        <w:rPr>
          <w:bCs/>
        </w:rPr>
        <w:t>inserir</w:t>
      </w:r>
      <w:r w:rsidR="009701D0" w:rsidRPr="00A5701A">
        <w:t xml:space="preserve"> mais duas variáveis no Quality of Life Index da Numbeo, consideradas relevantes, com base na pesquisa documental, criando uma</w:t>
      </w:r>
      <w:r w:rsidR="002810C0" w:rsidRPr="00A5701A">
        <w:t xml:space="preserve">  nova</w:t>
      </w:r>
      <w:r w:rsidR="009701D0" w:rsidRPr="00A5701A">
        <w:t xml:space="preserve"> classificação. Com a inserção das duas novas variáveis, verificar se houve mudança na classificação das cidades, com análise para aquelas que são consideradas densas.</w:t>
      </w:r>
      <w:r w:rsidR="00225570" w:rsidRPr="00A5701A">
        <w:t xml:space="preserve"> </w:t>
      </w:r>
      <w:r w:rsidR="009701D0" w:rsidRPr="00A5701A">
        <w:t>As duas variáveis incluídas foram de Planejamento Urbano e Tecnologia, baseado na pesquisa documental, e no ranqueamento do IESE Citie in Motion Index</w:t>
      </w:r>
      <w:r w:rsidR="004C4DA0">
        <w:rPr>
          <w:rStyle w:val="Refdenotaderodap"/>
        </w:rPr>
        <w:footnoteReference w:id="7"/>
      </w:r>
      <w:r w:rsidR="009701D0" w:rsidRPr="00A5701A">
        <w:t xml:space="preserve">, edição anual de </w:t>
      </w:r>
      <w:r w:rsidR="00226050" w:rsidRPr="00A5701A">
        <w:t>2018,</w:t>
      </w:r>
      <w:r w:rsidR="009701D0" w:rsidRPr="00A5701A">
        <w:t xml:space="preserve"> publicada pelo Departamento de Estratégia da IESE Business School, </w:t>
      </w:r>
      <w:r w:rsidR="009701D0" w:rsidRPr="00A5701A">
        <w:rPr>
          <w:bCs/>
        </w:rPr>
        <w:t xml:space="preserve">da escola Superior de pós-graduação da Universidade de Navarro. </w:t>
      </w:r>
      <w:r w:rsidR="00226050" w:rsidRPr="00A5701A">
        <w:rPr>
          <w:bCs/>
          <w:color w:val="000000" w:themeColor="text1"/>
        </w:rPr>
        <w:t xml:space="preserve">Esta pesquisa é teórica com base documental </w:t>
      </w:r>
      <w:r w:rsidR="00E10DD4" w:rsidRPr="00A5701A">
        <w:rPr>
          <w:bCs/>
          <w:color w:val="000000" w:themeColor="text1"/>
        </w:rPr>
        <w:t>e foi</w:t>
      </w:r>
      <w:r w:rsidR="00FE3BE6" w:rsidRPr="00A5701A">
        <w:rPr>
          <w:bCs/>
          <w:color w:val="000000" w:themeColor="text1"/>
        </w:rPr>
        <w:t xml:space="preserve"> desenvolvida em seis etapas descritas a seguir:</w:t>
      </w:r>
    </w:p>
    <w:p w14:paraId="6DAFA0B2" w14:textId="572020EA" w:rsidR="00FE3BE6" w:rsidRPr="00A5701A" w:rsidRDefault="00FE3BE6" w:rsidP="00226050">
      <w:pPr>
        <w:pStyle w:val="NormalWeb"/>
        <w:spacing w:before="0" w:beforeAutospacing="0" w:after="0" w:afterAutospacing="0" w:line="360" w:lineRule="auto"/>
        <w:rPr>
          <w:bCs/>
          <w:color w:val="000000" w:themeColor="text1"/>
        </w:rPr>
      </w:pPr>
    </w:p>
    <w:p w14:paraId="3CADBCA7" w14:textId="19A124F7" w:rsidR="00FE3BE6" w:rsidRPr="00A5701A" w:rsidRDefault="001124D3" w:rsidP="00F869B6">
      <w:pPr>
        <w:pStyle w:val="NormalWeb"/>
        <w:spacing w:before="0" w:beforeAutospacing="0" w:after="0" w:afterAutospacing="0" w:line="360" w:lineRule="auto"/>
        <w:rPr>
          <w:shd w:val="clear" w:color="auto" w:fill="FFFFFF"/>
        </w:rPr>
      </w:pPr>
      <w:r w:rsidRPr="00A5701A">
        <w:rPr>
          <w:b/>
          <w:bCs/>
          <w:color w:val="000000" w:themeColor="text1"/>
        </w:rPr>
        <w:t>Na etapa</w:t>
      </w:r>
      <w:r w:rsidR="00D75DCF" w:rsidRPr="00A5701A">
        <w:rPr>
          <w:b/>
          <w:bCs/>
          <w:color w:val="000000" w:themeColor="text1"/>
        </w:rPr>
        <w:t xml:space="preserve"> </w:t>
      </w:r>
      <w:r w:rsidRPr="00A5701A">
        <w:rPr>
          <w:b/>
          <w:bCs/>
          <w:color w:val="000000" w:themeColor="text1"/>
        </w:rPr>
        <w:t>1</w:t>
      </w:r>
      <w:r w:rsidRPr="00A5701A">
        <w:rPr>
          <w:color w:val="000000" w:themeColor="text1"/>
        </w:rPr>
        <w:t xml:space="preserve"> </w:t>
      </w:r>
      <w:r w:rsidRPr="00A5701A">
        <w:t>realizou-se</w:t>
      </w:r>
      <w:r w:rsidR="00FE3BE6" w:rsidRPr="00A5701A">
        <w:t xml:space="preserve"> levantamento bibliográfico e documental, da conceituação, definição e tipos de densidade, da qualidade de vida, para a fundamentação teórica a que se refere esta pesquisa. </w:t>
      </w:r>
      <w:r w:rsidRPr="00A5701A">
        <w:t xml:space="preserve"> </w:t>
      </w:r>
      <w:r w:rsidRPr="00A5701A">
        <w:rPr>
          <w:b/>
          <w:bCs/>
        </w:rPr>
        <w:t>Na etapa 2</w:t>
      </w:r>
      <w:r w:rsidRPr="00A5701A">
        <w:t xml:space="preserve"> p</w:t>
      </w:r>
      <w:r w:rsidR="00FE3BE6" w:rsidRPr="00A5701A">
        <w:rPr>
          <w:color w:val="000000" w:themeColor="text1"/>
        </w:rPr>
        <w:t>esquisou-se os rankings de qualidade de vida utilizados mundialmente, para verificação de quais deles eram adequados a pesquisa. Restaram três. São eles:</w:t>
      </w:r>
      <w:r w:rsidR="001C225B" w:rsidRPr="00A5701A">
        <w:rPr>
          <w:color w:val="000000" w:themeColor="text1"/>
        </w:rPr>
        <w:t xml:space="preserve"> </w:t>
      </w:r>
      <w:r w:rsidR="00FE3BE6" w:rsidRPr="00A5701A">
        <w:t xml:space="preserve"> O Quality of Life Index da Plataforma Numbeo</w:t>
      </w:r>
      <w:r w:rsidR="001C225B" w:rsidRPr="00A5701A">
        <w:t xml:space="preserve">, </w:t>
      </w:r>
      <w:r w:rsidR="00FE3BE6" w:rsidRPr="00A5701A">
        <w:t>O ranking de qualidade de vida da The Economist</w:t>
      </w:r>
      <w:r w:rsidR="001C225B" w:rsidRPr="00A5701A">
        <w:t xml:space="preserve"> </w:t>
      </w:r>
      <w:r w:rsidR="001A15E7">
        <w:rPr>
          <w:rStyle w:val="Refdenotaderodap"/>
        </w:rPr>
        <w:footnoteReference w:id="8"/>
      </w:r>
      <w:r w:rsidR="001C225B" w:rsidRPr="00A5701A">
        <w:t xml:space="preserve">e </w:t>
      </w:r>
      <w:r w:rsidR="006E1256" w:rsidRPr="00A5701A">
        <w:t>o ranking</w:t>
      </w:r>
      <w:r w:rsidR="00FE3BE6" w:rsidRPr="00A5701A">
        <w:t xml:space="preserve"> de qualidade de vida da empresa Mercer</w:t>
      </w:r>
      <w:r w:rsidR="001A15E7">
        <w:rPr>
          <w:rStyle w:val="Refdenotaderodap"/>
        </w:rPr>
        <w:footnoteReference w:id="9"/>
      </w:r>
      <w:r w:rsidR="00FE3BE6" w:rsidRPr="00A5701A">
        <w:t>. Para o alinhamento da pesquisa, foi considerado adequado o ranking de qualidade de vida da plataforma Numbeo, que contribui para a qualidade de vida das pessoas residentes na cidade.</w:t>
      </w:r>
      <w:r w:rsidR="007B258F" w:rsidRPr="00A5701A">
        <w:t xml:space="preserve"> </w:t>
      </w:r>
      <w:r w:rsidR="00FE3BE6" w:rsidRPr="00A5701A">
        <w:t xml:space="preserve">O critério de exclusão para a não utilização dos outros dois rankings, foi o objetivo diferente a que se destina esta pesquisa, que é fornecer </w:t>
      </w:r>
      <w:bookmarkStart w:id="0" w:name="_Hlk39846644"/>
      <w:r w:rsidR="00EE3494">
        <w:t>informações</w:t>
      </w:r>
      <w:r w:rsidR="00FE3BE6" w:rsidRPr="00A5701A">
        <w:t xml:space="preserve"> para a qualidade de vida em benefício da população residente nas cidades. </w:t>
      </w:r>
      <w:bookmarkEnd w:id="0"/>
      <w:r w:rsidR="00FE3BE6" w:rsidRPr="00A5701A">
        <w:t xml:space="preserve">O ranking de qualidade de vida da The Economist e da Mercer tem como objetivo fornecer informações para as empresas que enviam colaboradores para outros países, a </w:t>
      </w:r>
      <w:r w:rsidR="00FE3BE6" w:rsidRPr="00A5701A">
        <w:lastRenderedPageBreak/>
        <w:t>fim de apresentar uma imagem completa das condições no local, para compensação aos seus liderados, por qualquer redução nos padrões de vida.</w:t>
      </w:r>
      <w:r w:rsidR="00574637" w:rsidRPr="00A5701A">
        <w:t xml:space="preserve"> </w:t>
      </w:r>
      <w:r w:rsidR="00FE3BE6" w:rsidRPr="00A5701A">
        <w:t xml:space="preserve"> Após estas análises e escolha do ranking escolhido foi o da plataforma Numbeo, um banco de dados que reúne informações com a contribuição de 475.697 colaboradores de 9.161 cidades inscritas, que fornecem informações atuais das condições de vida, (Quality of Life Index). É registrado na Sérvia sob número 20853514. A metodologia utilizada para coleta das informações, é através de um banco de dados, alimentado com colaboração dos habitantes das cidades cadastradas na plataforma, e coleta manual de fontes autorizadas (sites de supermercados, websites de empresas de táxi, instituições governamentais, artigos de jornais, outras pesquisas etc.). Os dados que são coletados manualmente dessas fontes citadas, são recolocados duas vezes por ano. A coleta de dados é realizada utilizando-se filtros automáticos e semiautomáticos, para filtrar os dados chamados por eles de “ruídos”.  Outro filtro descarta ¼ (um quarto) das entradas mais baixas e mais altas, pois os casos limites têm uma probabilidade maior de estar incorretos. Das entradas restantes, os valores mais baixos, mais altos e médios são calculados e exibidos. A Numbeo também arquiva os valores de dados antigos, com uma política de descontinuidade de dados padrão de 12 meses, embora sejam utilizados dados de até 18 meses quando não há novos dados, e os indicadores sugerem que a inflação é baixa em um determinado país. Os valores dos dados antigos são preservados para serem usados com fins históricos.</w:t>
      </w:r>
      <w:r w:rsidR="00C05709" w:rsidRPr="00A5701A">
        <w:t xml:space="preserve"> </w:t>
      </w:r>
      <w:r w:rsidR="00C05709" w:rsidRPr="00A5701A">
        <w:rPr>
          <w:b/>
          <w:bCs/>
        </w:rPr>
        <w:t>Na etapa 3</w:t>
      </w:r>
      <w:r w:rsidR="009249F2" w:rsidRPr="00A5701A">
        <w:t xml:space="preserve"> </w:t>
      </w:r>
      <w:r w:rsidR="00FE3BE6" w:rsidRPr="00A5701A">
        <w:t>Para verificarmos a significância da inserção da densidade populacional como uma das variáveis que compõe o índice de qualidade de vida da Numbeo, foram realizados cálculos estatísticos pelo método de regressão, com o software SPSS (Statistical Package for the Social Sciences)</w:t>
      </w:r>
      <w:r w:rsidR="004D3071">
        <w:rPr>
          <w:rStyle w:val="Refdenotaderodap"/>
        </w:rPr>
        <w:footnoteReference w:id="10"/>
      </w:r>
      <w:r w:rsidR="00FE3BE6" w:rsidRPr="00A5701A">
        <w:t>. Foi preciso fazer 3, regressões distintas, duas múltiplas e uma simples. Uma regressão múltipla realizada para descobrir os pesos dos indicadores, utilizados pela Numbeo</w:t>
      </w:r>
      <w:r w:rsidR="00080A8C" w:rsidRPr="00A5701A">
        <w:t>.</w:t>
      </w:r>
      <w:r w:rsidR="00FE3BE6" w:rsidRPr="00A5701A">
        <w:t xml:space="preserve">  Uma regressão simples para descobrir </w:t>
      </w:r>
      <w:r w:rsidR="00303094" w:rsidRPr="00A5701A">
        <w:t>o quanto que</w:t>
      </w:r>
      <w:r w:rsidR="00FE3BE6" w:rsidRPr="00A5701A">
        <w:t xml:space="preserve"> a densidade populacional explica em porcentagem da qualidade de vida. A outra regressão múltipla foi realizada para descobrir</w:t>
      </w:r>
      <w:r w:rsidR="00303094" w:rsidRPr="00A5701A">
        <w:t xml:space="preserve"> o</w:t>
      </w:r>
      <w:r w:rsidR="00FE3BE6" w:rsidRPr="00A5701A">
        <w:t xml:space="preserve"> quanto que os indicadores da qualidade de vida da Numbeo poderiam se os pesos fossem variados explicar da densidade populacional</w:t>
      </w:r>
      <w:r w:rsidR="00303094" w:rsidRPr="00A5701A">
        <w:t xml:space="preserve">. Foi utilizado o </w:t>
      </w:r>
      <w:r w:rsidR="0013359A" w:rsidRPr="00A5701A">
        <w:t>software SPSS</w:t>
      </w:r>
      <w:r w:rsidR="00B56A9F" w:rsidRPr="00A5701A">
        <w:t xml:space="preserve"> que</w:t>
      </w:r>
      <w:r w:rsidR="00FE3BE6" w:rsidRPr="00A5701A">
        <w:t xml:space="preserve"> é</w:t>
      </w:r>
      <w:r w:rsidR="00B56A9F" w:rsidRPr="00A5701A">
        <w:t xml:space="preserve"> aplicado</w:t>
      </w:r>
      <w:r w:rsidR="00FE3BE6" w:rsidRPr="00A5701A">
        <w:t xml:space="preserve"> para capturar e analisar dados, criar gráficos e tabelas. Sua base inclui estatística descritiva como tabulação, estatística de duas variáveis, além de teste T, ANOVA e correlação.</w:t>
      </w:r>
      <w:r w:rsidR="00F869B6" w:rsidRPr="00A5701A">
        <w:t xml:space="preserve"> </w:t>
      </w:r>
      <w:r w:rsidR="00FE3BE6" w:rsidRPr="00A5701A">
        <w:rPr>
          <w:shd w:val="clear" w:color="auto" w:fill="FFFFFF"/>
        </w:rPr>
        <w:t xml:space="preserve">De acordo com Fávero et al (2009), a regressão linear tem como objetivo estudar a relação entre duas ou mais variáveis explicativas que se </w:t>
      </w:r>
      <w:r w:rsidR="00FE3BE6" w:rsidRPr="00A5701A">
        <w:rPr>
          <w:shd w:val="clear" w:color="auto" w:fill="FFFFFF"/>
        </w:rPr>
        <w:lastRenderedPageBreak/>
        <w:t>apresentam na forma linear, e uma variável dependente métrica. O modelo de regressão linear pode ser escrito na fórmula apresentado na equação 1.</w:t>
      </w:r>
    </w:p>
    <w:tbl>
      <w:tblPr>
        <w:tblStyle w:val="Tabelacomgrade"/>
        <w:tblW w:w="0" w:type="auto"/>
        <w:tblInd w:w="993" w:type="dxa"/>
        <w:tblLook w:val="04A0" w:firstRow="1" w:lastRow="0" w:firstColumn="1" w:lastColumn="0" w:noHBand="0" w:noVBand="1"/>
      </w:tblPr>
      <w:tblGrid>
        <w:gridCol w:w="6515"/>
        <w:gridCol w:w="986"/>
      </w:tblGrid>
      <w:tr w:rsidR="00EC49E5" w:rsidRPr="005E3173" w14:paraId="7DD8F798" w14:textId="77777777" w:rsidTr="00A5701A">
        <w:tc>
          <w:tcPr>
            <w:tcW w:w="6515" w:type="dxa"/>
          </w:tcPr>
          <w:p w14:paraId="3CD065FE" w14:textId="77777777" w:rsidR="00EC49E5" w:rsidRPr="00A5701A" w:rsidRDefault="00EC49E5" w:rsidP="00A5701A">
            <w:pPr>
              <w:pStyle w:val="NormalWeb"/>
              <w:spacing w:before="0" w:beforeAutospacing="0" w:after="0" w:afterAutospacing="0" w:line="360" w:lineRule="auto"/>
              <w:rPr>
                <w:b/>
                <w:color w:val="FF0000"/>
              </w:rPr>
            </w:pPr>
            <w:bookmarkStart w:id="1" w:name="_Hlk42097594"/>
            <m:oMathPara>
              <m:oMath>
                <m:r>
                  <w:rPr>
                    <w:rFonts w:ascii="Cambria Math" w:hAnsi="Cambria Math"/>
                  </w:rPr>
                  <m:t>Y= α+</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+u</m:t>
                </m:r>
              </m:oMath>
            </m:oMathPara>
          </w:p>
        </w:tc>
        <w:tc>
          <w:tcPr>
            <w:tcW w:w="986" w:type="dxa"/>
          </w:tcPr>
          <w:p w14:paraId="21E58982" w14:textId="77777777" w:rsidR="00EC49E5" w:rsidRPr="00A5701A" w:rsidRDefault="00EC49E5" w:rsidP="00A5701A">
            <w:pPr>
              <w:pStyle w:val="NormalWeb"/>
              <w:spacing w:before="0" w:beforeAutospacing="0" w:after="0" w:afterAutospacing="0" w:line="360" w:lineRule="auto"/>
              <w:rPr>
                <w:bCs/>
              </w:rPr>
            </w:pPr>
            <w:r w:rsidRPr="00A5701A">
              <w:rPr>
                <w:bCs/>
              </w:rPr>
              <w:t>(1)</w:t>
            </w:r>
          </w:p>
        </w:tc>
      </w:tr>
      <w:bookmarkEnd w:id="1"/>
    </w:tbl>
    <w:p w14:paraId="491F629C" w14:textId="244F6205" w:rsidR="008D48E3" w:rsidRDefault="008D48E3" w:rsidP="008D48E3">
      <w:pPr>
        <w:pStyle w:val="NormalWeb"/>
        <w:spacing w:before="0" w:beforeAutospacing="0" w:after="0" w:afterAutospacing="0" w:line="360" w:lineRule="auto"/>
        <w:rPr>
          <w:rFonts w:ascii="Arial" w:hAnsi="Arial" w:cs="Arial"/>
          <w:bCs/>
        </w:rPr>
      </w:pPr>
    </w:p>
    <w:p w14:paraId="1CBDE65E" w14:textId="77777777" w:rsidR="002F46DF" w:rsidRDefault="00EC49E5" w:rsidP="00744644">
      <w:pPr>
        <w:pStyle w:val="NormalWeb"/>
        <w:spacing w:before="0" w:beforeAutospacing="0" w:after="0" w:afterAutospacing="0" w:line="360" w:lineRule="auto"/>
        <w:rPr>
          <w:bCs/>
        </w:rPr>
      </w:pPr>
      <w:r w:rsidRPr="00A5701A">
        <w:rPr>
          <w:bCs/>
        </w:rPr>
        <w:t xml:space="preserve">Sendo que, Y é o fenômeno em estudo (variável dependente métrica) , no caso desta pesquisa está variável é representada pela Quality of Life Index, </w:t>
      </w:r>
      <m:oMath>
        <m:r>
          <w:rPr>
            <w:rFonts w:ascii="Cambria Math" w:hAnsi="Cambria Math"/>
          </w:rPr>
          <m:t>α</m:t>
        </m:r>
      </m:oMath>
      <w:r w:rsidRPr="00A5701A">
        <w:rPr>
          <w:bCs/>
          <w:color w:val="FF0000"/>
        </w:rPr>
        <w:t xml:space="preserve"> </w:t>
      </w:r>
      <w:r w:rsidRPr="00A5701A">
        <w:rPr>
          <w:bCs/>
        </w:rPr>
        <w:t xml:space="preserve">representa  o intercepto (constante), que no modelo da Numbeo é representado pelo valor numérico 100, </w:t>
      </w:r>
      <m:oMath>
        <m:sSub>
          <m:sSubPr>
            <m:ctrlPr>
              <w:rPr>
                <w:rFonts w:ascii="Cambria Math" w:hAnsi="Cambria Math"/>
                <w:bCs/>
                <w:i/>
              </w:rPr>
            </m:ctrlPr>
          </m:sSubPr>
          <m:e>
            <m:r>
              <w:rPr>
                <w:rFonts w:ascii="Cambria Math" w:hAnsi="Cambria Math"/>
              </w:rPr>
              <m:t>β</m:t>
            </m:r>
          </m:e>
          <m:sub>
            <m:r>
              <w:rPr>
                <w:rFonts w:ascii="Cambria Math" w:hAnsi="Cambria Math"/>
              </w:rPr>
              <m:t>k</m:t>
            </m:r>
          </m:sub>
        </m:sSub>
      </m:oMath>
      <w:r w:rsidRPr="00A5701A">
        <w:rPr>
          <w:bCs/>
        </w:rPr>
        <w:t xml:space="preserve">(k =1,2,...n) são os coeficientes de cada variável, chamado de coeficientes angulares, e na pesquisa é determinada pelas ponderações encontradas, </w:t>
      </w:r>
      <m:oMath>
        <m:sSub>
          <m:sSubPr>
            <m:ctrlPr>
              <w:rPr>
                <w:rFonts w:ascii="Cambria Math" w:hAnsi="Cambria Math"/>
                <w:bCs/>
                <w:i/>
              </w:rPr>
            </m:ctrlPr>
          </m:sSubPr>
          <m:e>
            <m:r>
              <w:rPr>
                <w:rFonts w:ascii="Cambria Math" w:hAnsi="Cambria Math"/>
              </w:rPr>
              <m:t>X</m:t>
            </m:r>
          </m:e>
          <m:sub>
            <m:r>
              <w:rPr>
                <w:rFonts w:ascii="Cambria Math" w:hAnsi="Cambria Math"/>
              </w:rPr>
              <m:t>K</m:t>
            </m:r>
          </m:sub>
        </m:sSub>
      </m:oMath>
      <w:r w:rsidRPr="00A5701A">
        <w:rPr>
          <w:bCs/>
        </w:rPr>
        <w:t xml:space="preserve"> são as variáveis explicativas (métricas)  que nesta pesquisa são representadas por: </w:t>
      </w:r>
      <w:r w:rsidRPr="00A5701A">
        <w:t>Purchasing Power Index</w:t>
      </w:r>
      <w:r w:rsidR="000C2E9A" w:rsidRPr="00A5701A">
        <w:t xml:space="preserve">, </w:t>
      </w:r>
      <w:r w:rsidRPr="00A5701A">
        <w:t>Safety Index</w:t>
      </w:r>
      <w:r w:rsidR="000C2E9A" w:rsidRPr="00A5701A">
        <w:t xml:space="preserve">, </w:t>
      </w:r>
      <w:r w:rsidRPr="00A5701A">
        <w:t>Health Care Index</w:t>
      </w:r>
      <w:r w:rsidR="000C2E9A" w:rsidRPr="00A5701A">
        <w:t xml:space="preserve">, </w:t>
      </w:r>
      <w:r w:rsidRPr="00A5701A">
        <w:t>Cost of Living Index</w:t>
      </w:r>
      <w:r w:rsidR="000C2E9A" w:rsidRPr="00A5701A">
        <w:t xml:space="preserve">, </w:t>
      </w:r>
      <w:r w:rsidRPr="00A5701A">
        <w:t>Property Price to Income Ratio</w:t>
      </w:r>
      <w:r w:rsidR="000C2E9A" w:rsidRPr="00A5701A">
        <w:t xml:space="preserve">, </w:t>
      </w:r>
      <w:r w:rsidRPr="00A5701A">
        <w:t>Traffic Commute Time Index</w:t>
      </w:r>
      <w:r w:rsidR="000C2E9A" w:rsidRPr="00A5701A">
        <w:t xml:space="preserve">, </w:t>
      </w:r>
      <w:r w:rsidRPr="00A5701A">
        <w:t>Pollution Index</w:t>
      </w:r>
      <w:r w:rsidR="000C2E9A" w:rsidRPr="00A5701A">
        <w:t xml:space="preserve"> e </w:t>
      </w:r>
      <w:r w:rsidRPr="00A5701A">
        <w:t>Climate Index</w:t>
      </w:r>
      <w:r w:rsidRPr="00A5701A">
        <w:rPr>
          <w:b/>
          <w:bCs/>
        </w:rPr>
        <w:t>.</w:t>
      </w:r>
      <w:r w:rsidR="00870B85" w:rsidRPr="00A5701A">
        <w:rPr>
          <w:b/>
          <w:bCs/>
        </w:rPr>
        <w:t xml:space="preserve"> </w:t>
      </w:r>
      <w:r w:rsidR="00DF417D" w:rsidRPr="00A5701A">
        <w:rPr>
          <w:b/>
          <w:bCs/>
          <w:shd w:val="clear" w:color="auto" w:fill="FFFFFF"/>
        </w:rPr>
        <w:t>Na etapa 4</w:t>
      </w:r>
      <w:r w:rsidR="00DF417D" w:rsidRPr="00A5701A">
        <w:rPr>
          <w:shd w:val="clear" w:color="auto" w:fill="FFFFFF"/>
        </w:rPr>
        <w:t xml:space="preserve"> </w:t>
      </w:r>
      <w:r w:rsidR="00DF417D" w:rsidRPr="00A5701A">
        <w:rPr>
          <w:color w:val="000000" w:themeColor="text1"/>
        </w:rPr>
        <w:t>foi realizada a</w:t>
      </w:r>
      <w:r w:rsidR="00DF417D" w:rsidRPr="00A5701A">
        <w:t xml:space="preserve"> verificação da correlação entre densidade e qualidade de vida, foi realizada correlação de Pearson que mede o grau da correlação entre duas variáveis, e se é positiva ou negativa. A correlação foi realizada entre o ranking de densidade do Demographia World Urban Áreas 2018</w:t>
      </w:r>
      <w:r w:rsidR="004B4EE0">
        <w:rPr>
          <w:rStyle w:val="Refdenotaderodap"/>
        </w:rPr>
        <w:footnoteReference w:id="11"/>
      </w:r>
      <w:r w:rsidR="00DF417D" w:rsidRPr="00A5701A">
        <w:t xml:space="preserve"> e o Quality of Life Index da Numbeo de 2018, anexo IV. O ano base utilizado para a análise da pesquisa foi somente o de 2018, pois a Numbeo iniciou o banco de dados em 2009, não sendo significativo para a análise estatística empregar dados de uma mesma década, pois, os resultados são semelhantes quando não os mesmos. </w:t>
      </w:r>
      <w:r w:rsidR="00DF417D" w:rsidRPr="00A5701A">
        <w:rPr>
          <w:color w:val="000000" w:themeColor="text1"/>
        </w:rPr>
        <w:t>O Demographia World Urban Áreas</w:t>
      </w:r>
      <w:r w:rsidR="00DF417D" w:rsidRPr="00A5701A">
        <w:t>, é um inventário anual, publicado da população da área terrestre e densidade populacional correspondentes, para áreas urbanas com mais de 500.000 habitantes, utilizando mapas e fotos via satélite, para calcular a urbanização de forma contínua.  Criado por Wendell Cox, um acadêmico americano da cidade de St. Louis-Illinois e analista de políticas urbanas. O relatório inclui a população, área terrestre e densidade populacional para as 1.064 áreas urbanas identificadas (que foram denominadas no relatório de aglomerações urbanas ou áreas urbanizadas) no mundo, com 500.000 ou mais populações identificadas. A população total estimada dessas áreas urbanas é de 2,25 bilhões, 53% da população urbana do mundo em 2017.</w:t>
      </w:r>
      <w:r w:rsidR="00CE2049" w:rsidRPr="00A5701A">
        <w:t xml:space="preserve"> </w:t>
      </w:r>
      <w:r w:rsidR="00870B85" w:rsidRPr="00A5701A">
        <w:rPr>
          <w:b/>
          <w:bCs/>
        </w:rPr>
        <w:t xml:space="preserve"> Na etapa 5</w:t>
      </w:r>
      <w:r w:rsidR="00870B85" w:rsidRPr="00A5701A">
        <w:t xml:space="preserve"> p</w:t>
      </w:r>
      <w:r w:rsidR="00870B85" w:rsidRPr="00A5701A">
        <w:rPr>
          <w:color w:val="000000" w:themeColor="text1"/>
        </w:rPr>
        <w:t>ara verificar quais as variáveis</w:t>
      </w:r>
      <w:r w:rsidR="00870B85" w:rsidRPr="00A5701A">
        <w:t xml:space="preserve"> contribuem para a queda da qualidade de vida foi realizado o método de exclusão de variáveis Backward. Segundo Fávero et al (2009), o método se refere-se partir do qual todas as variáveis são incialmente incluídas no modelo e retiradas passo </w:t>
      </w:r>
      <w:r w:rsidR="007C75C7" w:rsidRPr="00A5701A">
        <w:t>a passo</w:t>
      </w:r>
      <w:r w:rsidR="00870B85" w:rsidRPr="00A5701A">
        <w:t xml:space="preserve"> em função da análise da significância estatística  Sig.t. </w:t>
      </w:r>
      <w:r w:rsidR="00E37F56" w:rsidRPr="00A5701A">
        <w:rPr>
          <w:b/>
          <w:bCs/>
        </w:rPr>
        <w:t xml:space="preserve">Na etapa </w:t>
      </w:r>
      <w:r w:rsidR="00E37F56" w:rsidRPr="00A5701A">
        <w:rPr>
          <w:b/>
          <w:bCs/>
        </w:rPr>
        <w:lastRenderedPageBreak/>
        <w:t>6</w:t>
      </w:r>
      <w:r w:rsidR="00B52E7C" w:rsidRPr="00A5701A">
        <w:t xml:space="preserve"> </w:t>
      </w:r>
      <w:r w:rsidR="00F07194" w:rsidRPr="00A5701A">
        <w:t>Foi realizada uma análise estatística, utilizando a fórmula apresentada na equação 1 inserido as duas variáveis sugeridas, a de Planejamento Urbano e a de Tecnologia, e verificado a nova classificação das cidades, em relação ao ranqueamento original da Numbeo. Foram utilizadas as cidades que continham a classificação dessas duas novas variáveis no IESE Citie in Motion, no total de 112</w:t>
      </w:r>
      <w:r w:rsidR="004B4EE0">
        <w:t xml:space="preserve">, </w:t>
      </w:r>
      <w:r w:rsidR="00F07194" w:rsidRPr="00A5701A">
        <w:t xml:space="preserve"> e</w:t>
      </w:r>
      <w:r w:rsidR="004B4EE0">
        <w:t xml:space="preserve"> o mesmo número na</w:t>
      </w:r>
      <w:r w:rsidR="00F07194" w:rsidRPr="00A5701A">
        <w:t xml:space="preserve"> Numbeo. Esse número foi utilizado para que a pesquisa tivesse o mesmo número de cidades com as duas variáveis e com classificação no Quality of </w:t>
      </w:r>
      <w:r w:rsidR="00704D9B">
        <w:t xml:space="preserve"> </w:t>
      </w:r>
      <w:r w:rsidR="00F07194" w:rsidRPr="00A5701A">
        <w:t>Life Index Numbeo</w:t>
      </w:r>
      <w:r w:rsidR="00F07194" w:rsidRPr="00E03A43">
        <w:rPr>
          <w:bCs/>
        </w:rPr>
        <w:t>.</w:t>
      </w:r>
      <w:r w:rsidR="00F07194" w:rsidRPr="00A5701A">
        <w:rPr>
          <w:bCs/>
        </w:rPr>
        <w:t xml:space="preserve"> </w:t>
      </w:r>
      <w:r w:rsidR="001979E5">
        <w:rPr>
          <w:bCs/>
        </w:rPr>
        <w:t xml:space="preserve"> </w:t>
      </w:r>
    </w:p>
    <w:p w14:paraId="579D3A10" w14:textId="617FBDF2" w:rsidR="00F07194" w:rsidRDefault="00F07194" w:rsidP="00744644">
      <w:pPr>
        <w:pStyle w:val="NormalWeb"/>
        <w:spacing w:before="0" w:beforeAutospacing="0" w:after="0" w:afterAutospacing="0" w:line="360" w:lineRule="auto"/>
      </w:pPr>
      <w:r w:rsidRPr="00A5701A">
        <w:rPr>
          <w:bCs/>
        </w:rPr>
        <w:t>O objetivo da plataforma</w:t>
      </w:r>
      <w:r w:rsidR="00E03A43">
        <w:rPr>
          <w:bCs/>
        </w:rPr>
        <w:t xml:space="preserve"> de pesquisa Citie in Motion (CIMI) do IESE,</w:t>
      </w:r>
      <w:r w:rsidRPr="00A5701A">
        <w:rPr>
          <w:bCs/>
        </w:rPr>
        <w:t xml:space="preserve"> é desenvolver um modelo para a criação de um índice composto que permita medir a sustentabilidade futura das maiores cidades do mundo e o padrão de vida de seus habitantes. </w:t>
      </w:r>
      <w:r w:rsidRPr="00A5701A">
        <w:t>O IESE</w:t>
      </w:r>
      <w:r w:rsidR="00773FCE">
        <w:t xml:space="preserve"> </w:t>
      </w:r>
      <w:r w:rsidRPr="00A5701A">
        <w:t>criou um índice que integra dez dimensões em um único indicador e cobre 165 cidades em todo o mundo, permitindo identificar os pontos fortes e fracos de cada . O modelo propõe um conjunto de etapas que incluem o diagnóstico da situação, o desenvolvimento de uma estratégia e sua subsequente implementação.</w:t>
      </w:r>
      <w:r w:rsidR="00236D4A" w:rsidRPr="00A5701A">
        <w:t xml:space="preserve"> </w:t>
      </w:r>
      <w:r w:rsidRPr="00A5701A">
        <w:rPr>
          <w:bCs/>
        </w:rPr>
        <w:t xml:space="preserve">A escolha dessa plataforma foi devido ao </w:t>
      </w:r>
      <w:r w:rsidRPr="00A5701A">
        <w:t>CIMI</w:t>
      </w:r>
      <w:r w:rsidR="007F74B0">
        <w:t xml:space="preserve"> </w:t>
      </w:r>
      <w:r w:rsidRPr="00A5701A">
        <w:t>apresentar dentre as dez dimensões avaliadas a de Planejamento Urbano e Tecnologia</w:t>
      </w:r>
      <w:r w:rsidR="00B27356">
        <w:t>,</w:t>
      </w:r>
      <w:r w:rsidRPr="00A5701A">
        <w:t xml:space="preserve"> que foram utilizadas no embasamento documental e teórico a que esta pesquisa se refere. </w:t>
      </w:r>
      <w:r w:rsidR="00236D4A" w:rsidRPr="00A5701A">
        <w:t xml:space="preserve"> </w:t>
      </w:r>
      <w:r w:rsidRPr="00A5701A">
        <w:t>A dez dimensões utilizadas na metodologia do IESE, são as seguintes: Governança e participação do cidadão</w:t>
      </w:r>
      <w:r w:rsidR="00240CD9" w:rsidRPr="00A5701A">
        <w:t xml:space="preserve">, </w:t>
      </w:r>
      <w:r w:rsidRPr="00A5701A">
        <w:t>Planejamento Urbano</w:t>
      </w:r>
      <w:r w:rsidR="00240CD9" w:rsidRPr="00A5701A">
        <w:t xml:space="preserve">, </w:t>
      </w:r>
      <w:r w:rsidRPr="00A5701A">
        <w:t>Gestão Pública</w:t>
      </w:r>
      <w:r w:rsidR="00240CD9" w:rsidRPr="00A5701A">
        <w:t xml:space="preserve">, </w:t>
      </w:r>
      <w:r w:rsidRPr="00A5701A">
        <w:t>Tecnologia</w:t>
      </w:r>
      <w:r w:rsidR="00240CD9" w:rsidRPr="00A5701A">
        <w:t xml:space="preserve">, </w:t>
      </w:r>
      <w:r w:rsidRPr="00A5701A">
        <w:t>Meio ambiente</w:t>
      </w:r>
      <w:r w:rsidR="00240CD9" w:rsidRPr="00A5701A">
        <w:t xml:space="preserve">, </w:t>
      </w:r>
      <w:r w:rsidRPr="00A5701A">
        <w:t>Divulgação internacional</w:t>
      </w:r>
      <w:r w:rsidR="00240CD9" w:rsidRPr="00A5701A">
        <w:t xml:space="preserve">, </w:t>
      </w:r>
      <w:r w:rsidRPr="00A5701A">
        <w:t>Coesão social</w:t>
      </w:r>
      <w:r w:rsidR="00240CD9" w:rsidRPr="00A5701A">
        <w:t xml:space="preserve">, </w:t>
      </w:r>
      <w:r w:rsidRPr="00A5701A">
        <w:t>Mobilidade e transporte</w:t>
      </w:r>
      <w:r w:rsidR="00240CD9" w:rsidRPr="00A5701A">
        <w:t xml:space="preserve">, </w:t>
      </w:r>
      <w:r w:rsidRPr="00A5701A">
        <w:t xml:space="preserve">Capital </w:t>
      </w:r>
      <w:r w:rsidR="00D041A8" w:rsidRPr="00A5701A">
        <w:t>humano</w:t>
      </w:r>
      <w:r w:rsidR="00E56D49">
        <w:t xml:space="preserve"> e</w:t>
      </w:r>
      <w:r w:rsidR="00D041A8" w:rsidRPr="00A5701A">
        <w:t xml:space="preserve"> Economia</w:t>
      </w:r>
      <w:r w:rsidRPr="00A5701A">
        <w:t>.</w:t>
      </w:r>
    </w:p>
    <w:p w14:paraId="7CA6E060" w14:textId="77777777" w:rsidR="00404A7D" w:rsidRPr="00A5701A" w:rsidRDefault="00404A7D" w:rsidP="00744644">
      <w:pPr>
        <w:pStyle w:val="NormalWeb"/>
        <w:spacing w:before="0" w:beforeAutospacing="0" w:after="0" w:afterAutospacing="0" w:line="360" w:lineRule="auto"/>
      </w:pPr>
    </w:p>
    <w:p w14:paraId="68B1413D" w14:textId="04D485D8" w:rsidR="002F4A45" w:rsidRPr="00A5701A" w:rsidRDefault="0021416F" w:rsidP="002F4A45">
      <w:pPr>
        <w:pStyle w:val="NormalWeb"/>
        <w:numPr>
          <w:ilvl w:val="0"/>
          <w:numId w:val="1"/>
        </w:numPr>
        <w:tabs>
          <w:tab w:val="left" w:pos="284"/>
        </w:tabs>
        <w:spacing w:before="0" w:beforeAutospacing="0" w:after="0" w:afterAutospacing="0" w:line="360" w:lineRule="auto"/>
        <w:ind w:left="0" w:firstLine="0"/>
        <w:rPr>
          <w:b/>
          <w:bCs/>
          <w:lang w:val="en-US"/>
        </w:rPr>
      </w:pPr>
      <w:r>
        <w:rPr>
          <w:b/>
          <w:bCs/>
        </w:rPr>
        <w:t>A</w:t>
      </w:r>
      <w:r w:rsidRPr="00A5701A">
        <w:rPr>
          <w:b/>
          <w:bCs/>
        </w:rPr>
        <w:t>NÁLISE DOS RESULTADOS</w:t>
      </w:r>
    </w:p>
    <w:p w14:paraId="346BE495" w14:textId="78224FBA" w:rsidR="00CE38FB" w:rsidRPr="00A5701A" w:rsidRDefault="00CE38FB" w:rsidP="00CE38FB">
      <w:pPr>
        <w:rPr>
          <w:rFonts w:ascii="Times New Roman" w:hAnsi="Times New Roman" w:cs="Times New Roman"/>
          <w:b/>
          <w:bCs/>
          <w:szCs w:val="24"/>
        </w:rPr>
      </w:pPr>
      <w:r w:rsidRPr="00A5701A">
        <w:rPr>
          <w:rFonts w:ascii="Times New Roman" w:hAnsi="Times New Roman" w:cs="Times New Roman"/>
          <w:b/>
          <w:bCs/>
          <w:szCs w:val="24"/>
        </w:rPr>
        <w:t xml:space="preserve">3.1 </w:t>
      </w:r>
      <w:bookmarkStart w:id="2" w:name="_Toc52456900"/>
      <w:r w:rsidRPr="00A5701A">
        <w:rPr>
          <w:rFonts w:ascii="Times New Roman" w:hAnsi="Times New Roman" w:cs="Times New Roman"/>
          <w:b/>
          <w:bCs/>
          <w:szCs w:val="24"/>
        </w:rPr>
        <w:t>Montagem do índice de qualidade de vida da Numbeo</w:t>
      </w:r>
      <w:bookmarkEnd w:id="2"/>
    </w:p>
    <w:p w14:paraId="6C69690B" w14:textId="27A08526" w:rsidR="007666EE" w:rsidRPr="00A5701A" w:rsidRDefault="00CE38FB" w:rsidP="008D2DA4">
      <w:pPr>
        <w:pStyle w:val="NormalWeb"/>
        <w:spacing w:before="0" w:beforeAutospacing="0" w:after="0" w:afterAutospacing="0" w:line="360" w:lineRule="auto"/>
        <w:rPr>
          <w:color w:val="000000" w:themeColor="text1"/>
        </w:rPr>
      </w:pPr>
      <w:r w:rsidRPr="00A5701A">
        <w:t xml:space="preserve">O índice de qualidade de vida da Numbeo não são valores aleatórios. </w:t>
      </w:r>
      <w:r w:rsidRPr="00A5701A">
        <w:rPr>
          <w:lang w:val="en-US"/>
        </w:rPr>
        <w:t>Ele é uma combinação exata de todas as variáveis que a compõe são elas: Purchasing Power index, Safety index, Health Care index; Cost of Living index, Property Price to Income Ratio index, Traffic Commute Time index, Pollution index, Climate index.</w:t>
      </w:r>
      <w:r w:rsidR="00252E45" w:rsidRPr="00A5701A">
        <w:rPr>
          <w:lang w:val="en-US"/>
        </w:rPr>
        <w:t xml:space="preserve"> </w:t>
      </w:r>
      <w:r w:rsidRPr="00A5701A">
        <w:t>Para descobrir os pesos dos indicadores utilizados pela Numbeo foi realizada uma regressão múltipla utilizando o SPSS.</w:t>
      </w:r>
      <w:r w:rsidR="004070CF" w:rsidRPr="00A5701A">
        <w:t xml:space="preserve"> A regressão linear simples refere-se, a presença de apenas uma variável explicativa X, enquanto a regressão linear múltipla permite a inserção de diversas variáveis para a explicação de determinado fenômeno de acordo com a equação</w:t>
      </w:r>
      <w:r w:rsidR="001531C2" w:rsidRPr="00A5701A">
        <w:t xml:space="preserve">. </w:t>
      </w:r>
      <w:r w:rsidR="004A179A" w:rsidRPr="00A5701A">
        <w:rPr>
          <w:color w:val="000000" w:themeColor="text1"/>
        </w:rPr>
        <w:t>A tabela 1 apresenta os dados de entrada no software, das variáveis dependentes do índice de qualidade da Numbeo, com as cinco primeiras cidades</w:t>
      </w:r>
      <w:r w:rsidR="00D15497" w:rsidRPr="00A5701A">
        <w:rPr>
          <w:color w:val="000000" w:themeColor="text1"/>
        </w:rPr>
        <w:t xml:space="preserve"> que é</w:t>
      </w:r>
      <w:r w:rsidR="004A179A" w:rsidRPr="00A5701A">
        <w:rPr>
          <w:color w:val="000000" w:themeColor="text1"/>
        </w:rPr>
        <w:t xml:space="preserve"> constituída de 18</w:t>
      </w:r>
      <w:r w:rsidR="00A973AB" w:rsidRPr="00A5701A">
        <w:rPr>
          <w:color w:val="000000" w:themeColor="text1"/>
        </w:rPr>
        <w:t>4</w:t>
      </w:r>
      <w:r w:rsidR="004A179A" w:rsidRPr="00A5701A">
        <w:rPr>
          <w:color w:val="000000" w:themeColor="text1"/>
        </w:rPr>
        <w:t xml:space="preserve"> cidades.</w:t>
      </w:r>
      <w:r w:rsidR="008D2DA4" w:rsidRPr="00A5701A">
        <w:rPr>
          <w:color w:val="000000" w:themeColor="text1"/>
        </w:rPr>
        <w:t xml:space="preserve"> </w:t>
      </w:r>
    </w:p>
    <w:p w14:paraId="55E639B2" w14:textId="159DC66B" w:rsidR="007666EE" w:rsidRDefault="007666EE" w:rsidP="008D2DA4">
      <w:pPr>
        <w:pStyle w:val="NormalWeb"/>
        <w:spacing w:before="0" w:beforeAutospacing="0" w:after="0" w:afterAutospacing="0" w:line="360" w:lineRule="auto"/>
        <w:rPr>
          <w:color w:val="000000" w:themeColor="text1"/>
        </w:rPr>
      </w:pPr>
    </w:p>
    <w:p w14:paraId="60D1B296" w14:textId="77777777" w:rsidR="00680438" w:rsidRPr="00A5701A" w:rsidRDefault="00680438" w:rsidP="008D2DA4">
      <w:pPr>
        <w:pStyle w:val="NormalWeb"/>
        <w:spacing w:before="0" w:beforeAutospacing="0" w:after="0" w:afterAutospacing="0" w:line="360" w:lineRule="auto"/>
        <w:rPr>
          <w:color w:val="000000" w:themeColor="text1"/>
        </w:rPr>
      </w:pPr>
    </w:p>
    <w:p w14:paraId="6B8604D3" w14:textId="4634BBDE" w:rsidR="003F651F" w:rsidRPr="00A5701A" w:rsidRDefault="003F651F" w:rsidP="003F651F">
      <w:pPr>
        <w:ind w:firstLine="567"/>
        <w:rPr>
          <w:rFonts w:ascii="Times New Roman" w:hAnsi="Times New Roman" w:cs="Times New Roman"/>
          <w:sz w:val="20"/>
          <w:szCs w:val="20"/>
        </w:rPr>
      </w:pPr>
      <w:r w:rsidRPr="00A5701A">
        <w:rPr>
          <w:rFonts w:ascii="Times New Roman" w:hAnsi="Times New Roman" w:cs="Times New Roman"/>
          <w:sz w:val="20"/>
          <w:szCs w:val="20"/>
        </w:rPr>
        <w:t xml:space="preserve">     Tabela 1 – Variáveis dependentes do índice de qualidade de vida da Numbeo</w:t>
      </w:r>
    </w:p>
    <w:tbl>
      <w:tblPr>
        <w:tblStyle w:val="Tabelacomgrade"/>
        <w:tblW w:w="0" w:type="auto"/>
        <w:jc w:val="center"/>
        <w:tblLook w:val="04A0" w:firstRow="1" w:lastRow="0" w:firstColumn="1" w:lastColumn="0" w:noHBand="0" w:noVBand="1"/>
      </w:tblPr>
      <w:tblGrid>
        <w:gridCol w:w="1380"/>
        <w:gridCol w:w="580"/>
        <w:gridCol w:w="880"/>
        <w:gridCol w:w="780"/>
        <w:gridCol w:w="980"/>
        <w:gridCol w:w="720"/>
        <w:gridCol w:w="760"/>
        <w:gridCol w:w="840"/>
        <w:gridCol w:w="1000"/>
      </w:tblGrid>
      <w:tr w:rsidR="003F651F" w:rsidRPr="00A5701A" w14:paraId="6CD788F6" w14:textId="77777777" w:rsidTr="00A5701A">
        <w:trPr>
          <w:trHeight w:val="300"/>
          <w:jc w:val="center"/>
        </w:trPr>
        <w:tc>
          <w:tcPr>
            <w:tcW w:w="1380" w:type="dxa"/>
            <w:noWrap/>
            <w:hideMark/>
          </w:tcPr>
          <w:p w14:paraId="0F7408F8"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City</w:t>
            </w:r>
          </w:p>
        </w:tc>
        <w:tc>
          <w:tcPr>
            <w:tcW w:w="580" w:type="dxa"/>
            <w:noWrap/>
            <w:hideMark/>
          </w:tcPr>
          <w:p w14:paraId="7188BE60"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X1</w:t>
            </w:r>
          </w:p>
        </w:tc>
        <w:tc>
          <w:tcPr>
            <w:tcW w:w="880" w:type="dxa"/>
            <w:noWrap/>
            <w:hideMark/>
          </w:tcPr>
          <w:p w14:paraId="25FC5021"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X2</w:t>
            </w:r>
          </w:p>
        </w:tc>
        <w:tc>
          <w:tcPr>
            <w:tcW w:w="780" w:type="dxa"/>
            <w:noWrap/>
            <w:hideMark/>
          </w:tcPr>
          <w:p w14:paraId="5B9AC127"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X3</w:t>
            </w:r>
          </w:p>
        </w:tc>
        <w:tc>
          <w:tcPr>
            <w:tcW w:w="980" w:type="dxa"/>
            <w:noWrap/>
            <w:hideMark/>
          </w:tcPr>
          <w:p w14:paraId="5AF0D3BA"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X4</w:t>
            </w:r>
          </w:p>
        </w:tc>
        <w:tc>
          <w:tcPr>
            <w:tcW w:w="720" w:type="dxa"/>
            <w:noWrap/>
            <w:hideMark/>
          </w:tcPr>
          <w:p w14:paraId="63F76940"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X5</w:t>
            </w:r>
          </w:p>
        </w:tc>
        <w:tc>
          <w:tcPr>
            <w:tcW w:w="760" w:type="dxa"/>
            <w:noWrap/>
            <w:hideMark/>
          </w:tcPr>
          <w:p w14:paraId="258D9E8F"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X6</w:t>
            </w:r>
          </w:p>
        </w:tc>
        <w:tc>
          <w:tcPr>
            <w:tcW w:w="840" w:type="dxa"/>
            <w:noWrap/>
            <w:hideMark/>
          </w:tcPr>
          <w:p w14:paraId="4508936A"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X7</w:t>
            </w:r>
          </w:p>
        </w:tc>
        <w:tc>
          <w:tcPr>
            <w:tcW w:w="1000" w:type="dxa"/>
            <w:noWrap/>
            <w:hideMark/>
          </w:tcPr>
          <w:p w14:paraId="750C1D93"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X8</w:t>
            </w:r>
          </w:p>
        </w:tc>
      </w:tr>
      <w:tr w:rsidR="003F651F" w:rsidRPr="00A5701A" w14:paraId="35231155" w14:textId="77777777" w:rsidTr="00A5701A">
        <w:trPr>
          <w:trHeight w:val="300"/>
          <w:jc w:val="center"/>
        </w:trPr>
        <w:tc>
          <w:tcPr>
            <w:tcW w:w="1380" w:type="dxa"/>
            <w:noWrap/>
            <w:hideMark/>
          </w:tcPr>
          <w:p w14:paraId="23AE2940"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Wellington</w:t>
            </w:r>
          </w:p>
        </w:tc>
        <w:tc>
          <w:tcPr>
            <w:tcW w:w="580" w:type="dxa"/>
            <w:noWrap/>
            <w:hideMark/>
          </w:tcPr>
          <w:p w14:paraId="6B7134AB"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119</w:t>
            </w:r>
          </w:p>
        </w:tc>
        <w:tc>
          <w:tcPr>
            <w:tcW w:w="880" w:type="dxa"/>
            <w:noWrap/>
            <w:hideMark/>
          </w:tcPr>
          <w:p w14:paraId="70FE7BB4"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70,08</w:t>
            </w:r>
          </w:p>
        </w:tc>
        <w:tc>
          <w:tcPr>
            <w:tcW w:w="780" w:type="dxa"/>
            <w:noWrap/>
            <w:hideMark/>
          </w:tcPr>
          <w:p w14:paraId="6DDCA4B2"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71,42</w:t>
            </w:r>
          </w:p>
        </w:tc>
        <w:tc>
          <w:tcPr>
            <w:tcW w:w="980" w:type="dxa"/>
            <w:noWrap/>
            <w:hideMark/>
          </w:tcPr>
          <w:p w14:paraId="44A727B1"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80,87</w:t>
            </w:r>
          </w:p>
        </w:tc>
        <w:tc>
          <w:tcPr>
            <w:tcW w:w="720" w:type="dxa"/>
            <w:noWrap/>
            <w:hideMark/>
          </w:tcPr>
          <w:p w14:paraId="5BAA81D9"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5,87</w:t>
            </w:r>
          </w:p>
        </w:tc>
        <w:tc>
          <w:tcPr>
            <w:tcW w:w="760" w:type="dxa"/>
            <w:noWrap/>
            <w:hideMark/>
          </w:tcPr>
          <w:p w14:paraId="374445CA"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26,63</w:t>
            </w:r>
          </w:p>
        </w:tc>
        <w:tc>
          <w:tcPr>
            <w:tcW w:w="840" w:type="dxa"/>
            <w:noWrap/>
            <w:hideMark/>
          </w:tcPr>
          <w:p w14:paraId="513615B2"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11,86</w:t>
            </w:r>
          </w:p>
        </w:tc>
        <w:tc>
          <w:tcPr>
            <w:tcW w:w="1000" w:type="dxa"/>
            <w:noWrap/>
            <w:hideMark/>
          </w:tcPr>
          <w:p w14:paraId="22EB3A2A"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97,6</w:t>
            </w:r>
          </w:p>
        </w:tc>
      </w:tr>
      <w:tr w:rsidR="003F651F" w:rsidRPr="00A5701A" w14:paraId="4688A6E7" w14:textId="77777777" w:rsidTr="00A5701A">
        <w:trPr>
          <w:trHeight w:val="300"/>
          <w:jc w:val="center"/>
        </w:trPr>
        <w:tc>
          <w:tcPr>
            <w:tcW w:w="1380" w:type="dxa"/>
            <w:noWrap/>
            <w:hideMark/>
          </w:tcPr>
          <w:p w14:paraId="1D5CCCF0"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Eindhoven</w:t>
            </w:r>
          </w:p>
        </w:tc>
        <w:tc>
          <w:tcPr>
            <w:tcW w:w="580" w:type="dxa"/>
            <w:noWrap/>
            <w:hideMark/>
          </w:tcPr>
          <w:p w14:paraId="0C2ECB9D"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120</w:t>
            </w:r>
          </w:p>
        </w:tc>
        <w:tc>
          <w:tcPr>
            <w:tcW w:w="880" w:type="dxa"/>
            <w:noWrap/>
            <w:hideMark/>
          </w:tcPr>
          <w:p w14:paraId="7A45F0E4"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75,68</w:t>
            </w:r>
          </w:p>
        </w:tc>
        <w:tc>
          <w:tcPr>
            <w:tcW w:w="780" w:type="dxa"/>
            <w:noWrap/>
            <w:hideMark/>
          </w:tcPr>
          <w:p w14:paraId="68375722"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86,76</w:t>
            </w:r>
          </w:p>
        </w:tc>
        <w:tc>
          <w:tcPr>
            <w:tcW w:w="980" w:type="dxa"/>
            <w:noWrap/>
            <w:hideMark/>
          </w:tcPr>
          <w:p w14:paraId="2E169A61"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78,72</w:t>
            </w:r>
          </w:p>
        </w:tc>
        <w:tc>
          <w:tcPr>
            <w:tcW w:w="720" w:type="dxa"/>
            <w:noWrap/>
            <w:hideMark/>
          </w:tcPr>
          <w:p w14:paraId="342D4BB6"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5,23</w:t>
            </w:r>
          </w:p>
        </w:tc>
        <w:tc>
          <w:tcPr>
            <w:tcW w:w="760" w:type="dxa"/>
            <w:noWrap/>
            <w:hideMark/>
          </w:tcPr>
          <w:p w14:paraId="48BE621A"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27,94</w:t>
            </w:r>
          </w:p>
        </w:tc>
        <w:tc>
          <w:tcPr>
            <w:tcW w:w="840" w:type="dxa"/>
            <w:noWrap/>
            <w:hideMark/>
          </w:tcPr>
          <w:p w14:paraId="4AC6693E"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20,74</w:t>
            </w:r>
          </w:p>
        </w:tc>
        <w:tc>
          <w:tcPr>
            <w:tcW w:w="1000" w:type="dxa"/>
            <w:noWrap/>
            <w:hideMark/>
          </w:tcPr>
          <w:p w14:paraId="38C05BA5"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85,33</w:t>
            </w:r>
          </w:p>
        </w:tc>
      </w:tr>
      <w:tr w:rsidR="003F651F" w:rsidRPr="00A5701A" w14:paraId="76407018" w14:textId="77777777" w:rsidTr="00A5701A">
        <w:trPr>
          <w:trHeight w:val="300"/>
          <w:jc w:val="center"/>
        </w:trPr>
        <w:tc>
          <w:tcPr>
            <w:tcW w:w="1380" w:type="dxa"/>
            <w:noWrap/>
            <w:hideMark/>
          </w:tcPr>
          <w:p w14:paraId="0377BD38"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Zurich</w:t>
            </w:r>
          </w:p>
        </w:tc>
        <w:tc>
          <w:tcPr>
            <w:tcW w:w="580" w:type="dxa"/>
            <w:noWrap/>
            <w:hideMark/>
          </w:tcPr>
          <w:p w14:paraId="23A2C3E5"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143</w:t>
            </w:r>
          </w:p>
        </w:tc>
        <w:tc>
          <w:tcPr>
            <w:tcW w:w="880" w:type="dxa"/>
            <w:noWrap/>
            <w:hideMark/>
          </w:tcPr>
          <w:p w14:paraId="3641E4A9"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80,99</w:t>
            </w:r>
          </w:p>
        </w:tc>
        <w:tc>
          <w:tcPr>
            <w:tcW w:w="780" w:type="dxa"/>
            <w:noWrap/>
            <w:hideMark/>
          </w:tcPr>
          <w:p w14:paraId="18EDF147"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74,74</w:t>
            </w:r>
          </w:p>
        </w:tc>
        <w:tc>
          <w:tcPr>
            <w:tcW w:w="980" w:type="dxa"/>
            <w:noWrap/>
            <w:hideMark/>
          </w:tcPr>
          <w:p w14:paraId="7B4DE803"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141,25</w:t>
            </w:r>
          </w:p>
        </w:tc>
        <w:tc>
          <w:tcPr>
            <w:tcW w:w="720" w:type="dxa"/>
            <w:noWrap/>
            <w:hideMark/>
          </w:tcPr>
          <w:p w14:paraId="76CAB645"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9,87</w:t>
            </w:r>
          </w:p>
        </w:tc>
        <w:tc>
          <w:tcPr>
            <w:tcW w:w="760" w:type="dxa"/>
            <w:noWrap/>
            <w:hideMark/>
          </w:tcPr>
          <w:p w14:paraId="59BF6695"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35,59</w:t>
            </w:r>
          </w:p>
        </w:tc>
        <w:tc>
          <w:tcPr>
            <w:tcW w:w="840" w:type="dxa"/>
            <w:noWrap/>
            <w:hideMark/>
          </w:tcPr>
          <w:p w14:paraId="1ECF432A"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16,05</w:t>
            </w:r>
          </w:p>
        </w:tc>
        <w:tc>
          <w:tcPr>
            <w:tcW w:w="1000" w:type="dxa"/>
            <w:noWrap/>
            <w:hideMark/>
          </w:tcPr>
          <w:p w14:paraId="10505E5B"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82,16</w:t>
            </w:r>
          </w:p>
        </w:tc>
      </w:tr>
      <w:tr w:rsidR="003F651F" w:rsidRPr="00A5701A" w14:paraId="5762AD27" w14:textId="77777777" w:rsidTr="00A5701A">
        <w:trPr>
          <w:trHeight w:val="300"/>
          <w:jc w:val="center"/>
        </w:trPr>
        <w:tc>
          <w:tcPr>
            <w:tcW w:w="1380" w:type="dxa"/>
            <w:noWrap/>
            <w:hideMark/>
          </w:tcPr>
          <w:p w14:paraId="21193AE9"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Ottawa</w:t>
            </w:r>
          </w:p>
        </w:tc>
        <w:tc>
          <w:tcPr>
            <w:tcW w:w="580" w:type="dxa"/>
            <w:noWrap/>
            <w:hideMark/>
          </w:tcPr>
          <w:p w14:paraId="5FF5CF97"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145</w:t>
            </w:r>
          </w:p>
        </w:tc>
        <w:tc>
          <w:tcPr>
            <w:tcW w:w="880" w:type="dxa"/>
            <w:noWrap/>
            <w:hideMark/>
          </w:tcPr>
          <w:p w14:paraId="7429B09D"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76,05</w:t>
            </w:r>
          </w:p>
        </w:tc>
        <w:tc>
          <w:tcPr>
            <w:tcW w:w="780" w:type="dxa"/>
            <w:noWrap/>
            <w:hideMark/>
          </w:tcPr>
          <w:p w14:paraId="7E69724A"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72,85</w:t>
            </w:r>
          </w:p>
        </w:tc>
        <w:tc>
          <w:tcPr>
            <w:tcW w:w="980" w:type="dxa"/>
            <w:noWrap/>
            <w:hideMark/>
          </w:tcPr>
          <w:p w14:paraId="2E527972"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69,91</w:t>
            </w:r>
          </w:p>
        </w:tc>
        <w:tc>
          <w:tcPr>
            <w:tcW w:w="720" w:type="dxa"/>
            <w:noWrap/>
            <w:hideMark/>
          </w:tcPr>
          <w:p w14:paraId="2D09C7EF"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5,02</w:t>
            </w:r>
          </w:p>
        </w:tc>
        <w:tc>
          <w:tcPr>
            <w:tcW w:w="760" w:type="dxa"/>
            <w:noWrap/>
            <w:hideMark/>
          </w:tcPr>
          <w:p w14:paraId="6B47D42B"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35,48</w:t>
            </w:r>
          </w:p>
        </w:tc>
        <w:tc>
          <w:tcPr>
            <w:tcW w:w="840" w:type="dxa"/>
            <w:noWrap/>
            <w:hideMark/>
          </w:tcPr>
          <w:p w14:paraId="3DA3663D"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13,65</w:t>
            </w:r>
          </w:p>
        </w:tc>
        <w:tc>
          <w:tcPr>
            <w:tcW w:w="1000" w:type="dxa"/>
            <w:noWrap/>
            <w:hideMark/>
          </w:tcPr>
          <w:p w14:paraId="40960C4D"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44,46</w:t>
            </w:r>
          </w:p>
        </w:tc>
      </w:tr>
      <w:tr w:rsidR="003F651F" w:rsidRPr="00A5701A" w14:paraId="62C4D49E" w14:textId="77777777" w:rsidTr="00A5701A">
        <w:trPr>
          <w:trHeight w:val="300"/>
          <w:jc w:val="center"/>
        </w:trPr>
        <w:tc>
          <w:tcPr>
            <w:tcW w:w="1380" w:type="dxa"/>
            <w:noWrap/>
            <w:hideMark/>
          </w:tcPr>
          <w:p w14:paraId="7F99A06F"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San Diego</w:t>
            </w:r>
          </w:p>
        </w:tc>
        <w:tc>
          <w:tcPr>
            <w:tcW w:w="580" w:type="dxa"/>
            <w:noWrap/>
            <w:hideMark/>
          </w:tcPr>
          <w:p w14:paraId="43ACB869"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143</w:t>
            </w:r>
          </w:p>
        </w:tc>
        <w:tc>
          <w:tcPr>
            <w:tcW w:w="880" w:type="dxa"/>
            <w:noWrap/>
            <w:hideMark/>
          </w:tcPr>
          <w:p w14:paraId="542B782C"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66,05</w:t>
            </w:r>
          </w:p>
        </w:tc>
        <w:tc>
          <w:tcPr>
            <w:tcW w:w="780" w:type="dxa"/>
            <w:noWrap/>
            <w:hideMark/>
          </w:tcPr>
          <w:p w14:paraId="22AE1CA2"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73,71</w:t>
            </w:r>
          </w:p>
        </w:tc>
        <w:tc>
          <w:tcPr>
            <w:tcW w:w="980" w:type="dxa"/>
            <w:noWrap/>
            <w:hideMark/>
          </w:tcPr>
          <w:p w14:paraId="0C8D34DE"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77,01</w:t>
            </w:r>
          </w:p>
        </w:tc>
        <w:tc>
          <w:tcPr>
            <w:tcW w:w="720" w:type="dxa"/>
            <w:noWrap/>
            <w:hideMark/>
          </w:tcPr>
          <w:p w14:paraId="2031DD1A"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5,22</w:t>
            </w:r>
          </w:p>
        </w:tc>
        <w:tc>
          <w:tcPr>
            <w:tcW w:w="760" w:type="dxa"/>
            <w:noWrap/>
            <w:hideMark/>
          </w:tcPr>
          <w:p w14:paraId="33FBE79E"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39,09</w:t>
            </w:r>
          </w:p>
        </w:tc>
        <w:tc>
          <w:tcPr>
            <w:tcW w:w="840" w:type="dxa"/>
            <w:noWrap/>
            <w:hideMark/>
          </w:tcPr>
          <w:p w14:paraId="61F16293"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33,53</w:t>
            </w:r>
          </w:p>
        </w:tc>
        <w:tc>
          <w:tcPr>
            <w:tcW w:w="1000" w:type="dxa"/>
            <w:noWrap/>
            <w:hideMark/>
          </w:tcPr>
          <w:p w14:paraId="045F9ADD" w14:textId="77777777" w:rsidR="003F651F" w:rsidRPr="00A5701A" w:rsidRDefault="003F651F" w:rsidP="00A5701A">
            <w:pPr>
              <w:rPr>
                <w:rFonts w:ascii="Times New Roman" w:hAnsi="Times New Roman" w:cs="Times New Roman"/>
                <w:sz w:val="20"/>
                <w:szCs w:val="20"/>
              </w:rPr>
            </w:pPr>
            <w:r w:rsidRPr="00A5701A">
              <w:rPr>
                <w:rFonts w:ascii="Times New Roman" w:hAnsi="Times New Roman" w:cs="Times New Roman"/>
                <w:sz w:val="20"/>
                <w:szCs w:val="20"/>
              </w:rPr>
              <w:t>96,99</w:t>
            </w:r>
          </w:p>
        </w:tc>
      </w:tr>
    </w:tbl>
    <w:p w14:paraId="341DA46A" w14:textId="73D47723" w:rsidR="003F651F" w:rsidRPr="00A5701A" w:rsidRDefault="003F651F" w:rsidP="003F651F">
      <w:pPr>
        <w:jc w:val="center"/>
        <w:rPr>
          <w:rFonts w:ascii="Times New Roman" w:hAnsi="Times New Roman" w:cs="Times New Roman"/>
          <w:szCs w:val="24"/>
          <w:shd w:val="clear" w:color="auto" w:fill="FFFFFF"/>
        </w:rPr>
      </w:pPr>
      <w:r w:rsidRPr="00A5701A">
        <w:rPr>
          <w:rFonts w:ascii="Times New Roman" w:hAnsi="Times New Roman" w:cs="Times New Roman"/>
          <w:szCs w:val="24"/>
          <w:shd w:val="clear" w:color="auto" w:fill="FFFFFF"/>
        </w:rPr>
        <w:t xml:space="preserve">                                                                                  </w:t>
      </w:r>
    </w:p>
    <w:p w14:paraId="70394960" w14:textId="42C0836C" w:rsidR="003F651F" w:rsidRPr="00A5701A" w:rsidRDefault="003F651F" w:rsidP="003F651F">
      <w:pPr>
        <w:jc w:val="center"/>
        <w:rPr>
          <w:rFonts w:ascii="Times New Roman" w:hAnsi="Times New Roman" w:cs="Times New Roman"/>
          <w:sz w:val="20"/>
          <w:szCs w:val="20"/>
          <w:shd w:val="clear" w:color="auto" w:fill="FFFFFF"/>
        </w:rPr>
      </w:pPr>
      <w:r w:rsidRPr="00A5701A">
        <w:rPr>
          <w:rFonts w:ascii="Times New Roman" w:hAnsi="Times New Roman" w:cs="Times New Roman"/>
          <w:sz w:val="20"/>
          <w:szCs w:val="20"/>
          <w:shd w:val="clear" w:color="auto" w:fill="FFFFFF"/>
        </w:rPr>
        <w:t>Fonte: A autora</w:t>
      </w:r>
    </w:p>
    <w:p w14:paraId="79E0617F" w14:textId="06A8ED38" w:rsidR="00C064E3" w:rsidRPr="00A5701A" w:rsidRDefault="00C064E3" w:rsidP="00783023">
      <w:pPr>
        <w:rPr>
          <w:rFonts w:ascii="Times New Roman" w:hAnsi="Times New Roman" w:cs="Times New Roman"/>
          <w:szCs w:val="24"/>
        </w:rPr>
      </w:pPr>
      <w:r w:rsidRPr="00A5701A">
        <w:rPr>
          <w:rFonts w:ascii="Times New Roman" w:hAnsi="Times New Roman" w:cs="Times New Roman"/>
          <w:szCs w:val="24"/>
          <w:lang w:val="en-US"/>
        </w:rPr>
        <w:t>Onde: X1 - Purchasing Power index, X2- Safety index, X3- Health Care index, X4- Cost of Living index, X5- Property Price to Income Ratio index, X6- Traffic Commute Time index, X7- Pollution index ,X8- Climate index.</w:t>
      </w:r>
      <w:r w:rsidR="00783023" w:rsidRPr="00A5701A">
        <w:rPr>
          <w:rFonts w:ascii="Times New Roman" w:hAnsi="Times New Roman" w:cs="Times New Roman"/>
          <w:szCs w:val="24"/>
          <w:lang w:val="en-US"/>
        </w:rPr>
        <w:t xml:space="preserve"> </w:t>
      </w:r>
      <w:r w:rsidRPr="00A5701A">
        <w:rPr>
          <w:rFonts w:ascii="Times New Roman" w:hAnsi="Times New Roman" w:cs="Times New Roman"/>
          <w:szCs w:val="24"/>
        </w:rPr>
        <w:t>Os coeficientes foram calculados de acordo com a equação 1 tendo com resultado a equação 2.</w:t>
      </w:r>
    </w:p>
    <w:tbl>
      <w:tblPr>
        <w:tblStyle w:val="Tabelacomgrade"/>
        <w:tblW w:w="8647" w:type="dxa"/>
        <w:tblInd w:w="-147" w:type="dxa"/>
        <w:tblLook w:val="04A0" w:firstRow="1" w:lastRow="0" w:firstColumn="1" w:lastColumn="0" w:noHBand="0" w:noVBand="1"/>
      </w:tblPr>
      <w:tblGrid>
        <w:gridCol w:w="7655"/>
        <w:gridCol w:w="992"/>
      </w:tblGrid>
      <w:tr w:rsidR="00304663" w14:paraId="76535614" w14:textId="77777777" w:rsidTr="00A5701A">
        <w:tc>
          <w:tcPr>
            <w:tcW w:w="7655" w:type="dxa"/>
            <w:vAlign w:val="center"/>
          </w:tcPr>
          <w:p w14:paraId="01F7871C" w14:textId="77777777" w:rsidR="00304663" w:rsidRPr="00A5701A" w:rsidRDefault="00304663" w:rsidP="00A5701A">
            <w:pPr>
              <w:ind w:left="-142" w:firstLine="709"/>
              <w:rPr>
                <w:rFonts w:ascii="Times New Roman" w:hAnsi="Times New Roman" w:cs="Times New Roman"/>
                <w:sz w:val="20"/>
                <w:szCs w:val="20"/>
              </w:rPr>
            </w:pPr>
            <w:r w:rsidRPr="00A5701A">
              <w:rPr>
                <w:rFonts w:ascii="Times New Roman" w:hAnsi="Times New Roman" w:cs="Times New Roman"/>
                <w:sz w:val="20"/>
                <w:szCs w:val="20"/>
              </w:rPr>
              <w:t>QLI=100+0,4PPI+0,55SI+0,4HC-0,1COL-1,0PPIR-0,5TCTI-0,667PI+0,333CI</w:t>
            </w:r>
          </w:p>
        </w:tc>
        <w:tc>
          <w:tcPr>
            <w:tcW w:w="992" w:type="dxa"/>
          </w:tcPr>
          <w:p w14:paraId="1006F78B" w14:textId="77777777" w:rsidR="00304663" w:rsidRPr="00A5701A" w:rsidRDefault="00304663" w:rsidP="00A5701A">
            <w:pPr>
              <w:rPr>
                <w:rFonts w:ascii="Times New Roman" w:hAnsi="Times New Roman" w:cs="Times New Roman"/>
                <w:sz w:val="20"/>
                <w:szCs w:val="20"/>
              </w:rPr>
            </w:pPr>
            <w:r w:rsidRPr="00A5701A">
              <w:rPr>
                <w:rFonts w:ascii="Times New Roman" w:hAnsi="Times New Roman" w:cs="Times New Roman"/>
                <w:sz w:val="20"/>
                <w:szCs w:val="20"/>
              </w:rPr>
              <w:t xml:space="preserve">    (2)</w:t>
            </w:r>
          </w:p>
        </w:tc>
      </w:tr>
    </w:tbl>
    <w:p w14:paraId="69B21942" w14:textId="77777777" w:rsidR="00D74A78" w:rsidRDefault="00D74A78" w:rsidP="00D74A78">
      <w:pPr>
        <w:rPr>
          <w:rFonts w:cs="Arial"/>
          <w:szCs w:val="24"/>
        </w:rPr>
      </w:pPr>
    </w:p>
    <w:p w14:paraId="08CBA420" w14:textId="3B6A0814" w:rsidR="00493B56" w:rsidRPr="00A5701A" w:rsidRDefault="00D74A78" w:rsidP="00382A1E">
      <w:pPr>
        <w:rPr>
          <w:rFonts w:ascii="Times New Roman" w:hAnsi="Times New Roman" w:cs="Times New Roman"/>
          <w:color w:val="000000" w:themeColor="text1"/>
          <w:lang w:val="en-US"/>
        </w:rPr>
      </w:pPr>
      <w:r w:rsidRPr="00A5701A">
        <w:rPr>
          <w:rFonts w:ascii="Times New Roman" w:hAnsi="Times New Roman" w:cs="Times New Roman"/>
          <w:szCs w:val="24"/>
          <w:lang w:val="en-US"/>
        </w:rPr>
        <w:t>Sendo que: QLI corresponde a Quality of life Index, PPI corresponde a Purchasing Power index, SI corresponde a Safety Index,HC corresponde a Health Care index,   COL corresponde a Cost of Living Index, PPIR corresponde a  Property Price to Income Ratio index, TCTI corresponde a Trafic Commute Time Index, PI Pollution Index, CI corresponde a Climate Index.</w:t>
      </w:r>
    </w:p>
    <w:p w14:paraId="50E0607C" w14:textId="3ECA402C" w:rsidR="008D2DA4" w:rsidRPr="00A5701A" w:rsidRDefault="008D2DA4" w:rsidP="008D2DA4">
      <w:pPr>
        <w:pStyle w:val="NormalWeb"/>
        <w:spacing w:before="0" w:beforeAutospacing="0" w:after="0" w:afterAutospacing="0" w:line="360" w:lineRule="auto"/>
      </w:pPr>
      <w:r w:rsidRPr="00A5701A">
        <w:t>A situação de Caracas</w:t>
      </w:r>
      <w:r w:rsidR="008F0719" w:rsidRPr="00A5701A">
        <w:t>, que está no último lugar do ranking da Numbeo, posição 184,</w:t>
      </w:r>
      <w:r w:rsidRPr="00A5701A">
        <w:t xml:space="preserve"> é tão, atípica advinda dos problemas políticos no qual ela está submetida, sendo um ponto “influenciante “, como chamado em estatística, de forma a fazer com que o modelo busque se adequar  a dados que não são representativos no todo,  tornando-o não generalizável. Neste caso não seria possível identificar as ponderações exatas que a Numbeo usa para cada um dos fatores empregados nas variáveis, por isso foi retirada. Em estatística é chamada de remoção de “outlayer”</w:t>
      </w:r>
      <w:r w:rsidR="008600F7" w:rsidRPr="00A5701A">
        <w:t>.</w:t>
      </w:r>
      <w:r w:rsidR="007666EE" w:rsidRPr="00A5701A">
        <w:t xml:space="preserve"> Portanto foram utilizadas 183 cidades</w:t>
      </w:r>
      <w:r w:rsidRPr="00A5701A">
        <w:t>.</w:t>
      </w:r>
    </w:p>
    <w:p w14:paraId="3AB6F83F" w14:textId="671DE364" w:rsidR="006D5BC6" w:rsidRPr="00A5701A" w:rsidRDefault="006D5BC6" w:rsidP="006D5BC6">
      <w:pPr>
        <w:rPr>
          <w:rFonts w:ascii="Times New Roman" w:hAnsi="Times New Roman" w:cs="Times New Roman"/>
          <w:szCs w:val="24"/>
        </w:rPr>
      </w:pPr>
      <w:r w:rsidRPr="00A5701A">
        <w:rPr>
          <w:rFonts w:ascii="Times New Roman" w:hAnsi="Times New Roman" w:cs="Times New Roman"/>
          <w:szCs w:val="24"/>
        </w:rPr>
        <w:t xml:space="preserve">A tabela </w:t>
      </w:r>
      <w:r w:rsidR="00646269" w:rsidRPr="00A5701A">
        <w:rPr>
          <w:rFonts w:ascii="Times New Roman" w:hAnsi="Times New Roman" w:cs="Times New Roman"/>
          <w:szCs w:val="24"/>
        </w:rPr>
        <w:t>2</w:t>
      </w:r>
      <w:r w:rsidRPr="00A5701A">
        <w:rPr>
          <w:rFonts w:ascii="Times New Roman" w:hAnsi="Times New Roman" w:cs="Times New Roman"/>
          <w:szCs w:val="24"/>
        </w:rPr>
        <w:t xml:space="preserve"> apresenta a significância estatística dos parâmetros α e β, da equação 1, os coeficientes de cada variável explicativa do modelo, assim como a constante na coluna B. </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2268"/>
        <w:gridCol w:w="1276"/>
        <w:gridCol w:w="1275"/>
        <w:gridCol w:w="1560"/>
        <w:gridCol w:w="1275"/>
        <w:gridCol w:w="993"/>
      </w:tblGrid>
      <w:tr w:rsidR="006D5BC6" w:rsidRPr="00A1795E" w14:paraId="79265DEB" w14:textId="77777777" w:rsidTr="00A5701A">
        <w:trPr>
          <w:cantSplit/>
        </w:trPr>
        <w:tc>
          <w:tcPr>
            <w:tcW w:w="8931" w:type="dxa"/>
            <w:gridSpan w:val="7"/>
            <w:tcBorders>
              <w:top w:val="nil"/>
              <w:left w:val="nil"/>
              <w:bottom w:val="single" w:sz="4" w:space="0" w:color="auto"/>
              <w:right w:val="nil"/>
            </w:tcBorders>
            <w:shd w:val="clear" w:color="auto" w:fill="FFFFFF"/>
            <w:vAlign w:val="center"/>
          </w:tcPr>
          <w:p w14:paraId="185E6A72" w14:textId="15294BB6"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20"/>
                <w:szCs w:val="20"/>
              </w:rPr>
            </w:pPr>
            <w:bookmarkStart w:id="3" w:name="_Hlk49013968"/>
            <w:r w:rsidRPr="00A5701A">
              <w:rPr>
                <w:rFonts w:ascii="Times New Roman" w:hAnsi="Times New Roman" w:cs="Times New Roman"/>
                <w:color w:val="000000"/>
                <w:sz w:val="20"/>
                <w:szCs w:val="20"/>
              </w:rPr>
              <w:t xml:space="preserve">Tabela </w:t>
            </w:r>
            <w:r w:rsidR="00646269" w:rsidRPr="00A5701A">
              <w:rPr>
                <w:rFonts w:ascii="Times New Roman" w:hAnsi="Times New Roman" w:cs="Times New Roman"/>
                <w:color w:val="000000"/>
                <w:sz w:val="20"/>
                <w:szCs w:val="20"/>
              </w:rPr>
              <w:t>2</w:t>
            </w:r>
            <w:r w:rsidRPr="00A5701A">
              <w:rPr>
                <w:rFonts w:ascii="Times New Roman" w:hAnsi="Times New Roman" w:cs="Times New Roman"/>
                <w:color w:val="000000"/>
                <w:sz w:val="20"/>
                <w:szCs w:val="20"/>
              </w:rPr>
              <w:t xml:space="preserve"> - Coeficientes</w:t>
            </w:r>
          </w:p>
        </w:tc>
      </w:tr>
      <w:tr w:rsidR="006D5BC6" w:rsidRPr="00A1795E" w14:paraId="31011387" w14:textId="77777777" w:rsidTr="00A5701A">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4FEDFDA7" w14:textId="77777777" w:rsidR="006D5BC6" w:rsidRPr="00A5701A" w:rsidRDefault="006D5BC6" w:rsidP="00A5701A">
            <w:pPr>
              <w:autoSpaceDE w:val="0"/>
              <w:autoSpaceDN w:val="0"/>
              <w:adjustRightInd w:val="0"/>
              <w:spacing w:line="240" w:lineRule="auto"/>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Modelo</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828BE1D" w14:textId="77777777" w:rsidR="006D5BC6" w:rsidRPr="00A5701A" w:rsidRDefault="006D5BC6"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Coeficientes não padronizados</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14:paraId="4E12658E" w14:textId="77777777" w:rsidR="006D5BC6" w:rsidRPr="00A5701A" w:rsidRDefault="006D5BC6"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Coeficientes padronizados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32CEDEB7"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t</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14:paraId="4542DC0F"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Sig.</w:t>
            </w:r>
          </w:p>
        </w:tc>
      </w:tr>
      <w:tr w:rsidR="006D5BC6" w:rsidRPr="00A1795E" w14:paraId="6449C9DD" w14:textId="77777777" w:rsidTr="00A5701A">
        <w:trPr>
          <w:cantSplit/>
        </w:trPr>
        <w:tc>
          <w:tcPr>
            <w:tcW w:w="2552"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1156E0FC" w14:textId="77777777" w:rsidR="006D5BC6" w:rsidRPr="00A5701A" w:rsidRDefault="006D5BC6" w:rsidP="00A5701A">
            <w:pPr>
              <w:autoSpaceDE w:val="0"/>
              <w:autoSpaceDN w:val="0"/>
              <w:adjustRightInd w:val="0"/>
              <w:spacing w:line="240" w:lineRule="auto"/>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4D01ED33"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B</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5DF5AC92"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Erro Padrão</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14:paraId="34EA3E39"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Beta</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961DABD" w14:textId="77777777" w:rsidR="006D5BC6" w:rsidRPr="00A5701A" w:rsidRDefault="006D5BC6" w:rsidP="00A5701A">
            <w:pPr>
              <w:autoSpaceDE w:val="0"/>
              <w:autoSpaceDN w:val="0"/>
              <w:adjustRightInd w:val="0"/>
              <w:spacing w:line="240" w:lineRule="auto"/>
              <w:rPr>
                <w:rFonts w:ascii="Times New Roman" w:hAnsi="Times New Roman" w:cs="Times New Roman"/>
                <w:color w:val="000000"/>
                <w:sz w:val="18"/>
                <w:szCs w:val="18"/>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A1149D1" w14:textId="77777777" w:rsidR="006D5BC6" w:rsidRPr="00A5701A" w:rsidRDefault="006D5BC6" w:rsidP="00A5701A">
            <w:pPr>
              <w:autoSpaceDE w:val="0"/>
              <w:autoSpaceDN w:val="0"/>
              <w:adjustRightInd w:val="0"/>
              <w:spacing w:line="240" w:lineRule="auto"/>
              <w:rPr>
                <w:rFonts w:ascii="Times New Roman" w:hAnsi="Times New Roman" w:cs="Times New Roman"/>
                <w:color w:val="000000"/>
                <w:sz w:val="18"/>
                <w:szCs w:val="18"/>
              </w:rPr>
            </w:pPr>
          </w:p>
        </w:tc>
      </w:tr>
      <w:tr w:rsidR="006D5BC6" w:rsidRPr="00A1795E" w14:paraId="45E0BD34" w14:textId="77777777" w:rsidTr="00A5701A">
        <w:trPr>
          <w:cantSplit/>
        </w:trPr>
        <w:tc>
          <w:tcPr>
            <w:tcW w:w="284" w:type="dxa"/>
            <w:vMerge w:val="restart"/>
            <w:tcBorders>
              <w:top w:val="single" w:sz="4" w:space="0" w:color="auto"/>
              <w:left w:val="single" w:sz="4" w:space="0" w:color="auto"/>
              <w:bottom w:val="single" w:sz="4" w:space="0" w:color="auto"/>
              <w:right w:val="single" w:sz="4" w:space="0" w:color="auto"/>
            </w:tcBorders>
            <w:shd w:val="clear" w:color="auto" w:fill="FFFFFF"/>
          </w:tcPr>
          <w:p w14:paraId="7DD2158C" w14:textId="77777777" w:rsidR="006D5BC6" w:rsidRPr="004223A7" w:rsidRDefault="006D5BC6" w:rsidP="00A5701A">
            <w:pPr>
              <w:autoSpaceDE w:val="0"/>
              <w:autoSpaceDN w:val="0"/>
              <w:adjustRightInd w:val="0"/>
              <w:spacing w:line="320" w:lineRule="atLeast"/>
              <w:ind w:left="60" w:right="60"/>
              <w:rPr>
                <w:rFonts w:cs="Arial"/>
                <w:color w:val="000000"/>
                <w:sz w:val="18"/>
                <w:szCs w:val="18"/>
              </w:rPr>
            </w:pPr>
            <w:r w:rsidRPr="004223A7">
              <w:rPr>
                <w:rFonts w:cs="Arial"/>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F919C22" w14:textId="77777777" w:rsidR="006D5BC6" w:rsidRPr="00A5701A" w:rsidRDefault="006D5BC6"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(Constante)</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101FC35C"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100,000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D964F67"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A70F7FC" w14:textId="77777777" w:rsidR="006D5BC6" w:rsidRPr="00A5701A" w:rsidRDefault="006D5BC6" w:rsidP="00A5701A">
            <w:pPr>
              <w:autoSpaceDE w:val="0"/>
              <w:autoSpaceDN w:val="0"/>
              <w:adjustRightInd w:val="0"/>
              <w:spacing w:line="240" w:lineRule="auto"/>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E66905"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19520,544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457C300"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r>
      <w:tr w:rsidR="006D5BC6" w:rsidRPr="00A1795E" w14:paraId="2D2E9749" w14:textId="77777777" w:rsidTr="00A5701A">
        <w:trPr>
          <w:cantSplit/>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59C74470" w14:textId="77777777" w:rsidR="006D5BC6" w:rsidRPr="004223A7" w:rsidRDefault="006D5BC6" w:rsidP="00A5701A">
            <w:pPr>
              <w:autoSpaceDE w:val="0"/>
              <w:autoSpaceDN w:val="0"/>
              <w:adjustRightInd w:val="0"/>
              <w:spacing w:line="240" w:lineRule="auto"/>
              <w:rPr>
                <w:rFonts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C9960A4" w14:textId="77777777" w:rsidR="006D5BC6" w:rsidRPr="00A5701A" w:rsidRDefault="006D5BC6"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Purchasing Power Index</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331D5942"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7F5FF1D"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348AF9D"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685D6BB"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21673,801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78B7C5C"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r>
      <w:tr w:rsidR="006D5BC6" w:rsidRPr="00A1795E" w14:paraId="0D3ED53C" w14:textId="77777777" w:rsidTr="00A5701A">
        <w:trPr>
          <w:cantSplit/>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6F6E9865" w14:textId="77777777" w:rsidR="006D5BC6" w:rsidRPr="004223A7" w:rsidRDefault="006D5BC6" w:rsidP="00A5701A">
            <w:pPr>
              <w:autoSpaceDE w:val="0"/>
              <w:autoSpaceDN w:val="0"/>
              <w:adjustRightInd w:val="0"/>
              <w:spacing w:line="240" w:lineRule="auto"/>
              <w:rPr>
                <w:rFonts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0D94279" w14:textId="77777777" w:rsidR="006D5BC6" w:rsidRPr="00A5701A" w:rsidRDefault="006D5BC6"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Safety Index</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29D7BF1A"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4CB0330"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B463D5E"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,199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0ACF0C1"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15020,161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59CD908"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r>
      <w:tr w:rsidR="006D5BC6" w:rsidRPr="00A1795E" w14:paraId="08DD1451" w14:textId="77777777" w:rsidTr="00A5701A">
        <w:trPr>
          <w:cantSplit/>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3E8723A8" w14:textId="77777777" w:rsidR="006D5BC6" w:rsidRPr="004223A7" w:rsidRDefault="006D5BC6" w:rsidP="00A5701A">
            <w:pPr>
              <w:autoSpaceDE w:val="0"/>
              <w:autoSpaceDN w:val="0"/>
              <w:adjustRightInd w:val="0"/>
              <w:spacing w:line="240" w:lineRule="auto"/>
              <w:rPr>
                <w:rFonts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16FBB19" w14:textId="77777777" w:rsidR="006D5BC6" w:rsidRPr="00A5701A" w:rsidRDefault="006D5BC6"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Health Care Index</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16698A79"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9F1F602"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2779175"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,104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13EA1B"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7842,342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708D4EB"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r>
      <w:tr w:rsidR="006D5BC6" w:rsidRPr="00A1795E" w14:paraId="5065E5D0" w14:textId="77777777" w:rsidTr="00A5701A">
        <w:trPr>
          <w:cantSplit/>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24610BD8" w14:textId="77777777" w:rsidR="006D5BC6" w:rsidRPr="004223A7" w:rsidRDefault="006D5BC6" w:rsidP="00A5701A">
            <w:pPr>
              <w:autoSpaceDE w:val="0"/>
              <w:autoSpaceDN w:val="0"/>
              <w:adjustRightInd w:val="0"/>
              <w:spacing w:line="240" w:lineRule="auto"/>
              <w:rPr>
                <w:rFonts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A101B96" w14:textId="77777777" w:rsidR="006D5BC6" w:rsidRPr="00A5701A" w:rsidRDefault="006D5BC6"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Cost of Living Index</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16FF1339"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291415B"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9851D1F"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-,061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2BAF8AA"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-3666,830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9E279C3"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r>
      <w:tr w:rsidR="006D5BC6" w:rsidRPr="00A1795E" w14:paraId="168EEF25" w14:textId="77777777" w:rsidTr="00A5701A">
        <w:trPr>
          <w:cantSplit/>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702E2A56" w14:textId="77777777" w:rsidR="006D5BC6" w:rsidRPr="004223A7" w:rsidRDefault="006D5BC6" w:rsidP="00A5701A">
            <w:pPr>
              <w:autoSpaceDE w:val="0"/>
              <w:autoSpaceDN w:val="0"/>
              <w:adjustRightInd w:val="0"/>
              <w:spacing w:line="240" w:lineRule="auto"/>
              <w:rPr>
                <w:rFonts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61B13EA" w14:textId="77777777" w:rsidR="006D5BC6" w:rsidRPr="00A5701A" w:rsidRDefault="006D5BC6" w:rsidP="00A5701A">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5701A">
              <w:rPr>
                <w:rFonts w:ascii="Times New Roman" w:hAnsi="Times New Roman" w:cs="Times New Roman"/>
                <w:color w:val="000000"/>
                <w:sz w:val="18"/>
                <w:szCs w:val="18"/>
                <w:lang w:val="en-US"/>
              </w:rPr>
              <w:t>Property Price to Income Ratio</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47D7B66C"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97E32D6"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9712145"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-,240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41632A0"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-17449,565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2A106CF"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r>
      <w:tr w:rsidR="006D5BC6" w:rsidRPr="00A1795E" w14:paraId="16B23E63" w14:textId="77777777" w:rsidTr="00A5701A">
        <w:trPr>
          <w:cantSplit/>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04791DE9" w14:textId="77777777" w:rsidR="006D5BC6" w:rsidRPr="004223A7" w:rsidRDefault="006D5BC6" w:rsidP="00A5701A">
            <w:pPr>
              <w:autoSpaceDE w:val="0"/>
              <w:autoSpaceDN w:val="0"/>
              <w:adjustRightInd w:val="0"/>
              <w:spacing w:line="240" w:lineRule="auto"/>
              <w:rPr>
                <w:rFonts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57D215A" w14:textId="77777777" w:rsidR="006D5BC6" w:rsidRPr="00A5701A" w:rsidRDefault="006D5BC6"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Traffic Commute Time Index</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1C754BE5"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ED4DA2"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CC81797"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33DF099"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-8743,453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A43D0E8"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r>
      <w:tr w:rsidR="006D5BC6" w:rsidRPr="00A1795E" w14:paraId="4A65C45D" w14:textId="77777777" w:rsidTr="00A5701A">
        <w:trPr>
          <w:cantSplit/>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4F1007F2" w14:textId="77777777" w:rsidR="006D5BC6" w:rsidRPr="004223A7" w:rsidRDefault="006D5BC6" w:rsidP="00A5701A">
            <w:pPr>
              <w:autoSpaceDE w:val="0"/>
              <w:autoSpaceDN w:val="0"/>
              <w:adjustRightInd w:val="0"/>
              <w:spacing w:line="240" w:lineRule="auto"/>
              <w:rPr>
                <w:rFonts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50DC0A8" w14:textId="77777777" w:rsidR="006D5BC6" w:rsidRPr="00A5701A" w:rsidRDefault="006D5BC6"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Pollution Index</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6BA4BC87"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-,667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E17C88"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A73400D"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26D19F9"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-23773,636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E8A4AD5"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r>
      <w:tr w:rsidR="006D5BC6" w:rsidRPr="00A1795E" w14:paraId="6CB15DFF" w14:textId="77777777" w:rsidTr="00A5701A">
        <w:trPr>
          <w:cantSplit/>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3D2B0EB5" w14:textId="77777777" w:rsidR="006D5BC6" w:rsidRPr="004223A7" w:rsidRDefault="006D5BC6" w:rsidP="00A5701A">
            <w:pPr>
              <w:autoSpaceDE w:val="0"/>
              <w:autoSpaceDN w:val="0"/>
              <w:adjustRightInd w:val="0"/>
              <w:spacing w:line="240" w:lineRule="auto"/>
              <w:rPr>
                <w:rFonts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7E01750" w14:textId="77777777" w:rsidR="006D5BC6" w:rsidRPr="00A5701A" w:rsidRDefault="006D5BC6"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Climate Index</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2AEB1E92"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,333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9009DF5"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7B88E74"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E3DD8CD"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13191,884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5B2F015"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,000</w:t>
            </w:r>
          </w:p>
        </w:tc>
      </w:tr>
      <w:tr w:rsidR="006D5BC6" w:rsidRPr="00447E36" w14:paraId="40554845" w14:textId="77777777" w:rsidTr="00A5701A">
        <w:trPr>
          <w:cantSplit/>
        </w:trPr>
        <w:tc>
          <w:tcPr>
            <w:tcW w:w="8931" w:type="dxa"/>
            <w:gridSpan w:val="7"/>
            <w:tcBorders>
              <w:top w:val="single" w:sz="4" w:space="0" w:color="auto"/>
              <w:left w:val="nil"/>
              <w:bottom w:val="nil"/>
              <w:right w:val="nil"/>
            </w:tcBorders>
            <w:shd w:val="clear" w:color="auto" w:fill="FFFFFF"/>
          </w:tcPr>
          <w:p w14:paraId="6B6FEFF4" w14:textId="77777777" w:rsidR="006D5BC6" w:rsidRPr="00A5701A" w:rsidRDefault="006D5BC6" w:rsidP="00A5701A">
            <w:pPr>
              <w:autoSpaceDE w:val="0"/>
              <w:autoSpaceDN w:val="0"/>
              <w:adjustRightInd w:val="0"/>
              <w:spacing w:line="320" w:lineRule="atLeast"/>
              <w:ind w:left="60" w:right="60"/>
              <w:jc w:val="center"/>
              <w:rPr>
                <w:rFonts w:ascii="Times New Roman" w:hAnsi="Times New Roman" w:cs="Times New Roman"/>
                <w:color w:val="000000"/>
                <w:sz w:val="18"/>
                <w:szCs w:val="18"/>
                <w:lang w:val="en-US"/>
              </w:rPr>
            </w:pPr>
            <w:r w:rsidRPr="00A5701A">
              <w:rPr>
                <w:rFonts w:ascii="Times New Roman" w:hAnsi="Times New Roman" w:cs="Times New Roman"/>
                <w:color w:val="000000"/>
                <w:sz w:val="18"/>
                <w:szCs w:val="18"/>
                <w:lang w:val="en-US"/>
              </w:rPr>
              <w:t>a. Variável Dependente: Quality of Life Index</w:t>
            </w:r>
          </w:p>
        </w:tc>
      </w:tr>
    </w:tbl>
    <w:p w14:paraId="0126BAA7" w14:textId="2483BC13" w:rsidR="004141B8" w:rsidRPr="00A5701A" w:rsidRDefault="004141B8" w:rsidP="004141B8">
      <w:pPr>
        <w:pStyle w:val="PargrafodaLista"/>
        <w:ind w:left="0"/>
        <w:rPr>
          <w:rFonts w:ascii="Times New Roman" w:hAnsi="Times New Roman" w:cs="Times New Roman"/>
          <w:b/>
          <w:bCs/>
        </w:rPr>
      </w:pPr>
      <w:bookmarkStart w:id="4" w:name="_Toc52456901"/>
      <w:bookmarkEnd w:id="3"/>
      <w:r w:rsidRPr="00A5701A">
        <w:rPr>
          <w:rFonts w:ascii="Times New Roman" w:hAnsi="Times New Roman" w:cs="Times New Roman"/>
          <w:b/>
          <w:bCs/>
        </w:rPr>
        <w:t>3.</w:t>
      </w:r>
      <w:r w:rsidR="000E0C29">
        <w:rPr>
          <w:rFonts w:ascii="Times New Roman" w:hAnsi="Times New Roman" w:cs="Times New Roman"/>
          <w:b/>
          <w:bCs/>
        </w:rPr>
        <w:t>2</w:t>
      </w:r>
      <w:r w:rsidRPr="00A5701A">
        <w:rPr>
          <w:rFonts w:ascii="Times New Roman" w:hAnsi="Times New Roman" w:cs="Times New Roman"/>
          <w:b/>
          <w:bCs/>
        </w:rPr>
        <w:t xml:space="preserve"> Verificação do poder de explicação da densidade populacional no índice de qualidade de vida</w:t>
      </w:r>
      <w:bookmarkEnd w:id="4"/>
      <w:r w:rsidRPr="00A5701A">
        <w:rPr>
          <w:rFonts w:ascii="Times New Roman" w:hAnsi="Times New Roman" w:cs="Times New Roman"/>
          <w:b/>
          <w:bCs/>
        </w:rPr>
        <w:t xml:space="preserve"> </w:t>
      </w:r>
    </w:p>
    <w:p w14:paraId="3EDC3912" w14:textId="490C914B" w:rsidR="00E179AD" w:rsidRPr="00A5701A" w:rsidRDefault="004141B8" w:rsidP="00BC4C14">
      <w:pPr>
        <w:shd w:val="clear" w:color="auto" w:fill="FFFFFF" w:themeFill="background1"/>
        <w:rPr>
          <w:rFonts w:ascii="Times New Roman" w:hAnsi="Times New Roman" w:cs="Times New Roman"/>
          <w:szCs w:val="24"/>
        </w:rPr>
      </w:pPr>
      <w:r w:rsidRPr="00A5701A">
        <w:rPr>
          <w:rFonts w:ascii="Times New Roman" w:hAnsi="Times New Roman" w:cs="Times New Roman"/>
          <w:szCs w:val="24"/>
        </w:rPr>
        <w:t xml:space="preserve">Através de um modelo de regressão simples entre o índice qualidade de vida e a densidade populacional, foi verificado quanto a densidade populacional é significativa em percentual no índice de qualidade de vida. </w:t>
      </w:r>
      <w:r w:rsidR="00E179AD" w:rsidRPr="00A5701A">
        <w:rPr>
          <w:rFonts w:ascii="Times New Roman" w:hAnsi="Times New Roman" w:cs="Times New Roman"/>
          <w:szCs w:val="24"/>
          <w:shd w:val="clear" w:color="auto" w:fill="FFFFFF"/>
        </w:rPr>
        <w:t xml:space="preserve">A tabela </w:t>
      </w:r>
      <w:r w:rsidR="00A41D68" w:rsidRPr="00A5701A">
        <w:rPr>
          <w:rFonts w:ascii="Times New Roman" w:hAnsi="Times New Roman" w:cs="Times New Roman"/>
          <w:szCs w:val="24"/>
          <w:shd w:val="clear" w:color="auto" w:fill="FFFFFF"/>
        </w:rPr>
        <w:t>3</w:t>
      </w:r>
      <w:r w:rsidR="00E179AD" w:rsidRPr="00A5701A">
        <w:rPr>
          <w:rFonts w:ascii="Times New Roman" w:hAnsi="Times New Roman" w:cs="Times New Roman"/>
          <w:szCs w:val="24"/>
          <w:shd w:val="clear" w:color="auto" w:fill="FFFFFF"/>
        </w:rPr>
        <w:t xml:space="preserve"> fornecida pelo SPSS apresenta a informação sobre qual é a variável dependente e quais variáveis explicativas foram inseridas e ou removidas para elaboração do modelo de regressão. </w:t>
      </w:r>
      <w:r w:rsidR="00E179AD" w:rsidRPr="00A5701A">
        <w:rPr>
          <w:rFonts w:ascii="Times New Roman" w:hAnsi="Times New Roman" w:cs="Times New Roman"/>
          <w:sz w:val="20"/>
          <w:szCs w:val="20"/>
        </w:rPr>
        <w:t xml:space="preserve">  </w:t>
      </w: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9"/>
        <w:gridCol w:w="2637"/>
        <w:gridCol w:w="2126"/>
        <w:gridCol w:w="2835"/>
      </w:tblGrid>
      <w:tr w:rsidR="00E179AD" w:rsidRPr="00A5701A" w14:paraId="38B49ED2" w14:textId="77777777" w:rsidTr="00A5701A">
        <w:trPr>
          <w:cantSplit/>
          <w:jc w:val="center"/>
        </w:trPr>
        <w:tc>
          <w:tcPr>
            <w:tcW w:w="8647" w:type="dxa"/>
            <w:gridSpan w:val="4"/>
            <w:tcBorders>
              <w:top w:val="nil"/>
              <w:left w:val="nil"/>
              <w:bottom w:val="single" w:sz="8" w:space="0" w:color="000000"/>
              <w:right w:val="nil"/>
            </w:tcBorders>
            <w:shd w:val="clear" w:color="auto" w:fill="FFFFFF"/>
            <w:vAlign w:val="center"/>
          </w:tcPr>
          <w:p w14:paraId="21864FEB" w14:textId="514D7EC8" w:rsidR="00E179AD" w:rsidRPr="00A5701A" w:rsidRDefault="00E179AD" w:rsidP="00A5701A">
            <w:pPr>
              <w:autoSpaceDE w:val="0"/>
              <w:autoSpaceDN w:val="0"/>
              <w:adjustRightInd w:val="0"/>
              <w:spacing w:line="320" w:lineRule="atLeast"/>
              <w:ind w:left="60" w:right="60"/>
              <w:jc w:val="center"/>
              <w:rPr>
                <w:rFonts w:ascii="Times New Roman" w:hAnsi="Times New Roman" w:cs="Times New Roman"/>
                <w:color w:val="000000"/>
                <w:sz w:val="20"/>
                <w:szCs w:val="20"/>
              </w:rPr>
            </w:pPr>
            <w:r w:rsidRPr="00A5701A">
              <w:rPr>
                <w:rFonts w:ascii="Times New Roman" w:hAnsi="Times New Roman" w:cs="Times New Roman"/>
                <w:color w:val="000000"/>
                <w:sz w:val="20"/>
                <w:szCs w:val="20"/>
              </w:rPr>
              <w:t xml:space="preserve">Tabela </w:t>
            </w:r>
            <w:r w:rsidR="00A41D68" w:rsidRPr="00A5701A">
              <w:rPr>
                <w:rFonts w:ascii="Times New Roman" w:hAnsi="Times New Roman" w:cs="Times New Roman"/>
                <w:color w:val="000000"/>
                <w:sz w:val="20"/>
                <w:szCs w:val="20"/>
              </w:rPr>
              <w:t>3</w:t>
            </w:r>
            <w:r w:rsidRPr="00A5701A">
              <w:rPr>
                <w:rFonts w:ascii="Times New Roman" w:hAnsi="Times New Roman" w:cs="Times New Roman"/>
                <w:color w:val="000000"/>
                <w:sz w:val="20"/>
                <w:szCs w:val="20"/>
              </w:rPr>
              <w:t>- Variáveis Inseridas/Removidas</w:t>
            </w:r>
            <w:r w:rsidRPr="00A5701A">
              <w:rPr>
                <w:rFonts w:ascii="Times New Roman" w:hAnsi="Times New Roman" w:cs="Times New Roman"/>
                <w:color w:val="000000"/>
                <w:sz w:val="20"/>
                <w:szCs w:val="20"/>
                <w:vertAlign w:val="superscript"/>
              </w:rPr>
              <w:t>a</w:t>
            </w:r>
          </w:p>
        </w:tc>
      </w:tr>
      <w:tr w:rsidR="00E179AD" w:rsidRPr="00A5701A" w14:paraId="102CD8B0" w14:textId="77777777" w:rsidTr="00A5701A">
        <w:trPr>
          <w:cantSplit/>
          <w:jc w:val="center"/>
        </w:trPr>
        <w:tc>
          <w:tcPr>
            <w:tcW w:w="1049"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043DBDD4" w14:textId="77777777" w:rsidR="00E179AD" w:rsidRPr="00A5701A" w:rsidRDefault="00E179AD" w:rsidP="00A5701A">
            <w:pPr>
              <w:autoSpaceDE w:val="0"/>
              <w:autoSpaceDN w:val="0"/>
              <w:adjustRightInd w:val="0"/>
              <w:spacing w:line="240" w:lineRule="auto"/>
              <w:ind w:left="60" w:right="60"/>
              <w:rPr>
                <w:rFonts w:ascii="Times New Roman" w:hAnsi="Times New Roman" w:cs="Times New Roman"/>
                <w:color w:val="000000"/>
                <w:sz w:val="20"/>
                <w:szCs w:val="20"/>
              </w:rPr>
            </w:pPr>
            <w:r w:rsidRPr="00A5701A">
              <w:rPr>
                <w:rFonts w:ascii="Times New Roman" w:hAnsi="Times New Roman" w:cs="Times New Roman"/>
                <w:color w:val="000000"/>
                <w:sz w:val="20"/>
                <w:szCs w:val="20"/>
              </w:rPr>
              <w:t>Modelo</w:t>
            </w:r>
          </w:p>
        </w:tc>
        <w:tc>
          <w:tcPr>
            <w:tcW w:w="263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4FA811D5" w14:textId="77777777" w:rsidR="00E179AD" w:rsidRPr="00A5701A" w:rsidRDefault="00E179AD" w:rsidP="00A5701A">
            <w:pPr>
              <w:autoSpaceDE w:val="0"/>
              <w:autoSpaceDN w:val="0"/>
              <w:adjustRightInd w:val="0"/>
              <w:spacing w:line="240" w:lineRule="auto"/>
              <w:ind w:left="60" w:right="60"/>
              <w:jc w:val="center"/>
              <w:rPr>
                <w:rFonts w:ascii="Times New Roman" w:hAnsi="Times New Roman" w:cs="Times New Roman"/>
                <w:color w:val="000000"/>
                <w:sz w:val="20"/>
                <w:szCs w:val="20"/>
              </w:rPr>
            </w:pPr>
            <w:r w:rsidRPr="00A5701A">
              <w:rPr>
                <w:rFonts w:ascii="Times New Roman" w:hAnsi="Times New Roman" w:cs="Times New Roman"/>
                <w:color w:val="000000"/>
                <w:sz w:val="20"/>
                <w:szCs w:val="20"/>
              </w:rPr>
              <w:t>Variáveis inseridas</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7DC0EB79" w14:textId="77777777" w:rsidR="00E179AD" w:rsidRPr="00A5701A" w:rsidRDefault="00E179AD" w:rsidP="00A5701A">
            <w:pPr>
              <w:autoSpaceDE w:val="0"/>
              <w:autoSpaceDN w:val="0"/>
              <w:adjustRightInd w:val="0"/>
              <w:spacing w:line="240" w:lineRule="auto"/>
              <w:ind w:left="60" w:right="60"/>
              <w:jc w:val="center"/>
              <w:rPr>
                <w:rFonts w:ascii="Times New Roman" w:hAnsi="Times New Roman" w:cs="Times New Roman"/>
                <w:color w:val="000000"/>
                <w:sz w:val="20"/>
                <w:szCs w:val="20"/>
              </w:rPr>
            </w:pPr>
            <w:r w:rsidRPr="00A5701A">
              <w:rPr>
                <w:rFonts w:ascii="Times New Roman" w:hAnsi="Times New Roman" w:cs="Times New Roman"/>
                <w:color w:val="000000"/>
                <w:sz w:val="20"/>
                <w:szCs w:val="20"/>
              </w:rPr>
              <w:t>Variáveis removidas</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6D166BA7" w14:textId="77777777" w:rsidR="00E179AD" w:rsidRPr="00A5701A" w:rsidRDefault="00E179AD" w:rsidP="00A5701A">
            <w:pPr>
              <w:autoSpaceDE w:val="0"/>
              <w:autoSpaceDN w:val="0"/>
              <w:adjustRightInd w:val="0"/>
              <w:spacing w:line="240" w:lineRule="auto"/>
              <w:ind w:left="60" w:right="60"/>
              <w:jc w:val="center"/>
              <w:rPr>
                <w:rFonts w:ascii="Times New Roman" w:hAnsi="Times New Roman" w:cs="Times New Roman"/>
                <w:color w:val="000000"/>
                <w:sz w:val="20"/>
                <w:szCs w:val="20"/>
              </w:rPr>
            </w:pPr>
            <w:r w:rsidRPr="00A5701A">
              <w:rPr>
                <w:rFonts w:ascii="Times New Roman" w:hAnsi="Times New Roman" w:cs="Times New Roman"/>
                <w:color w:val="000000"/>
                <w:sz w:val="20"/>
                <w:szCs w:val="20"/>
              </w:rPr>
              <w:t>Método</w:t>
            </w:r>
          </w:p>
        </w:tc>
      </w:tr>
      <w:tr w:rsidR="00E179AD" w:rsidRPr="00A5701A" w14:paraId="6CA16049" w14:textId="77777777" w:rsidTr="00A5701A">
        <w:trPr>
          <w:cantSplit/>
          <w:jc w:val="center"/>
        </w:trPr>
        <w:tc>
          <w:tcPr>
            <w:tcW w:w="1049" w:type="dxa"/>
            <w:tcBorders>
              <w:top w:val="single" w:sz="8" w:space="0" w:color="000000"/>
              <w:left w:val="single" w:sz="8" w:space="0" w:color="000000"/>
              <w:bottom w:val="single" w:sz="8" w:space="0" w:color="000000"/>
              <w:right w:val="single" w:sz="8" w:space="0" w:color="000000"/>
            </w:tcBorders>
            <w:shd w:val="clear" w:color="auto" w:fill="FFFFFF"/>
          </w:tcPr>
          <w:p w14:paraId="23818486" w14:textId="77777777" w:rsidR="00E179AD" w:rsidRPr="00A5701A" w:rsidRDefault="00E179AD" w:rsidP="00A5701A">
            <w:pPr>
              <w:autoSpaceDE w:val="0"/>
              <w:autoSpaceDN w:val="0"/>
              <w:adjustRightInd w:val="0"/>
              <w:spacing w:line="240" w:lineRule="auto"/>
              <w:ind w:left="60" w:right="60"/>
              <w:rPr>
                <w:rFonts w:ascii="Times New Roman" w:hAnsi="Times New Roman" w:cs="Times New Roman"/>
                <w:color w:val="000000"/>
                <w:sz w:val="20"/>
                <w:szCs w:val="20"/>
              </w:rPr>
            </w:pPr>
            <w:r w:rsidRPr="00A5701A">
              <w:rPr>
                <w:rFonts w:ascii="Times New Roman" w:hAnsi="Times New Roman" w:cs="Times New Roman"/>
                <w:color w:val="000000"/>
                <w:sz w:val="20"/>
                <w:szCs w:val="20"/>
              </w:rPr>
              <w:t>1</w:t>
            </w:r>
          </w:p>
        </w:tc>
        <w:tc>
          <w:tcPr>
            <w:tcW w:w="263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C5BF14" w14:textId="77777777" w:rsidR="00E179AD" w:rsidRPr="00A5701A" w:rsidRDefault="00E179AD" w:rsidP="00A5701A">
            <w:pPr>
              <w:autoSpaceDE w:val="0"/>
              <w:autoSpaceDN w:val="0"/>
              <w:adjustRightInd w:val="0"/>
              <w:spacing w:line="240" w:lineRule="auto"/>
              <w:ind w:left="60" w:right="60"/>
              <w:jc w:val="center"/>
              <w:rPr>
                <w:rFonts w:ascii="Times New Roman" w:hAnsi="Times New Roman" w:cs="Times New Roman"/>
                <w:color w:val="000000"/>
                <w:sz w:val="20"/>
                <w:szCs w:val="20"/>
              </w:rPr>
            </w:pPr>
            <w:r w:rsidRPr="00A5701A">
              <w:rPr>
                <w:rFonts w:ascii="Times New Roman" w:hAnsi="Times New Roman" w:cs="Times New Roman"/>
                <w:color w:val="000000"/>
                <w:sz w:val="20"/>
                <w:szCs w:val="20"/>
              </w:rPr>
              <w:t>DensidadePop</w:t>
            </w:r>
            <w:r w:rsidRPr="00A5701A">
              <w:rPr>
                <w:rFonts w:ascii="Times New Roman" w:hAnsi="Times New Roman" w:cs="Times New Roman"/>
                <w:color w:val="000000"/>
                <w:sz w:val="20"/>
                <w:szCs w:val="20"/>
                <w:vertAlign w:val="superscript"/>
              </w:rPr>
              <w:t>b</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03729" w14:textId="77777777" w:rsidR="00E179AD" w:rsidRPr="00A5701A" w:rsidRDefault="00E179AD" w:rsidP="00A5701A">
            <w:pPr>
              <w:autoSpaceDE w:val="0"/>
              <w:autoSpaceDN w:val="0"/>
              <w:adjustRightInd w:val="0"/>
              <w:spacing w:line="240" w:lineRule="auto"/>
              <w:ind w:left="60" w:right="60"/>
              <w:jc w:val="right"/>
              <w:rPr>
                <w:rFonts w:ascii="Times New Roman" w:hAnsi="Times New Roman" w:cs="Times New Roman"/>
                <w:color w:val="000000"/>
                <w:sz w:val="20"/>
                <w:szCs w:val="20"/>
              </w:rPr>
            </w:pPr>
            <w:r w:rsidRPr="00A5701A">
              <w:rPr>
                <w:rFonts w:ascii="Times New Roman" w:hAnsi="Times New Roman" w:cs="Times New Roman"/>
                <w:color w:val="000000"/>
                <w:sz w:val="20"/>
                <w:szCs w:val="20"/>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90F203" w14:textId="77777777" w:rsidR="00E179AD" w:rsidRPr="00A5701A" w:rsidRDefault="00E179AD" w:rsidP="00A5701A">
            <w:pPr>
              <w:autoSpaceDE w:val="0"/>
              <w:autoSpaceDN w:val="0"/>
              <w:adjustRightInd w:val="0"/>
              <w:spacing w:line="240" w:lineRule="auto"/>
              <w:ind w:left="60" w:right="60"/>
              <w:jc w:val="center"/>
              <w:rPr>
                <w:rFonts w:ascii="Times New Roman" w:hAnsi="Times New Roman" w:cs="Times New Roman"/>
                <w:color w:val="000000"/>
                <w:sz w:val="20"/>
                <w:szCs w:val="20"/>
              </w:rPr>
            </w:pPr>
            <w:r w:rsidRPr="00A5701A">
              <w:rPr>
                <w:rFonts w:ascii="Times New Roman" w:hAnsi="Times New Roman" w:cs="Times New Roman"/>
                <w:color w:val="000000"/>
                <w:sz w:val="20"/>
                <w:szCs w:val="20"/>
              </w:rPr>
              <w:t>Inserir</w:t>
            </w:r>
          </w:p>
        </w:tc>
      </w:tr>
      <w:tr w:rsidR="00E179AD" w:rsidRPr="00447E36" w14:paraId="0F5F9756" w14:textId="77777777" w:rsidTr="00A5701A">
        <w:trPr>
          <w:cantSplit/>
          <w:jc w:val="center"/>
        </w:trPr>
        <w:tc>
          <w:tcPr>
            <w:tcW w:w="8647" w:type="dxa"/>
            <w:gridSpan w:val="4"/>
            <w:tcBorders>
              <w:top w:val="single" w:sz="8" w:space="0" w:color="000000"/>
              <w:left w:val="nil"/>
              <w:bottom w:val="nil"/>
              <w:right w:val="nil"/>
            </w:tcBorders>
            <w:shd w:val="clear" w:color="auto" w:fill="FFFFFF"/>
          </w:tcPr>
          <w:p w14:paraId="05F7D2D3" w14:textId="77777777" w:rsidR="00E179AD" w:rsidRPr="00A5701A" w:rsidRDefault="00E179AD" w:rsidP="00A5701A">
            <w:pPr>
              <w:autoSpaceDE w:val="0"/>
              <w:autoSpaceDN w:val="0"/>
              <w:adjustRightInd w:val="0"/>
              <w:spacing w:line="320" w:lineRule="atLeast"/>
              <w:ind w:left="60" w:right="60"/>
              <w:rPr>
                <w:rFonts w:ascii="Times New Roman" w:hAnsi="Times New Roman" w:cs="Times New Roman"/>
                <w:color w:val="000000"/>
                <w:sz w:val="20"/>
                <w:szCs w:val="20"/>
                <w:lang w:val="en-US"/>
              </w:rPr>
            </w:pPr>
            <w:r w:rsidRPr="00A5701A">
              <w:rPr>
                <w:rFonts w:ascii="Times New Roman" w:hAnsi="Times New Roman" w:cs="Times New Roman"/>
                <w:color w:val="000000"/>
                <w:sz w:val="20"/>
                <w:szCs w:val="20"/>
                <w:lang w:val="en-US"/>
              </w:rPr>
              <w:t>a. Variável Dependente: Quality of Life Index</w:t>
            </w:r>
          </w:p>
        </w:tc>
      </w:tr>
      <w:tr w:rsidR="00E179AD" w:rsidRPr="00447E36" w14:paraId="0E2F06C9" w14:textId="77777777" w:rsidTr="00A5701A">
        <w:trPr>
          <w:cantSplit/>
          <w:jc w:val="center"/>
        </w:trPr>
        <w:tc>
          <w:tcPr>
            <w:tcW w:w="8647" w:type="dxa"/>
            <w:gridSpan w:val="4"/>
            <w:tcBorders>
              <w:top w:val="nil"/>
              <w:left w:val="nil"/>
              <w:bottom w:val="nil"/>
              <w:right w:val="nil"/>
            </w:tcBorders>
            <w:shd w:val="clear" w:color="auto" w:fill="FFFFFF"/>
          </w:tcPr>
          <w:p w14:paraId="613D77EF" w14:textId="60B0D0C9" w:rsidR="00E179AD" w:rsidRPr="00487725" w:rsidRDefault="00E179AD" w:rsidP="00A5701A">
            <w:pPr>
              <w:autoSpaceDE w:val="0"/>
              <w:autoSpaceDN w:val="0"/>
              <w:adjustRightInd w:val="0"/>
              <w:spacing w:line="320" w:lineRule="atLeast"/>
              <w:ind w:left="60" w:right="60"/>
              <w:rPr>
                <w:rFonts w:ascii="Times New Roman" w:hAnsi="Times New Roman" w:cs="Times New Roman"/>
                <w:color w:val="000000"/>
                <w:sz w:val="20"/>
                <w:szCs w:val="20"/>
                <w:lang w:val="en-US"/>
              </w:rPr>
            </w:pPr>
            <w:r w:rsidRPr="00A5701A">
              <w:rPr>
                <w:rFonts w:ascii="Times New Roman" w:hAnsi="Times New Roman" w:cs="Times New Roman"/>
                <w:color w:val="000000"/>
                <w:sz w:val="20"/>
                <w:szCs w:val="20"/>
              </w:rPr>
              <w:t>b. Todas as variáveis solicitadas inseridas.</w:t>
            </w:r>
            <w:r w:rsidR="00487725" w:rsidRPr="00487725">
              <w:rPr>
                <w:sz w:val="18"/>
                <w:szCs w:val="18"/>
              </w:rPr>
              <w:t xml:space="preserve"> </w:t>
            </w:r>
            <w:r w:rsidR="00487725" w:rsidRPr="00B27356">
              <w:rPr>
                <w:rFonts w:ascii="Times New Roman" w:hAnsi="Times New Roman" w:cs="Times New Roman"/>
                <w:sz w:val="18"/>
                <w:szCs w:val="18"/>
                <w:lang w:val="en-US"/>
              </w:rPr>
              <w:t>(Climate Index;Health Care Index;Traffic Commute Time Index; Property Price to Income Ratio,</w:t>
            </w:r>
            <w:r w:rsidR="00487725" w:rsidRPr="00B27356">
              <w:rPr>
                <w:rFonts w:ascii="Times New Roman" w:hAnsi="Times New Roman" w:cs="Times New Roman"/>
                <w:sz w:val="18"/>
                <w:szCs w:val="18"/>
                <w:lang w:val="en-US"/>
              </w:rPr>
              <w:tab/>
              <w:t xml:space="preserve">Cost of Living Index;Safety Index;Pollution Index; </w:t>
            </w:r>
            <w:r w:rsidR="00487725" w:rsidRPr="00B27356">
              <w:rPr>
                <w:rFonts w:ascii="Times New Roman" w:hAnsi="Times New Roman" w:cs="Times New Roman"/>
                <w:sz w:val="18"/>
                <w:szCs w:val="18"/>
                <w:lang w:val="en-US"/>
              </w:rPr>
              <w:tab/>
              <w:t>Purchasing Power Index).</w:t>
            </w:r>
          </w:p>
        </w:tc>
      </w:tr>
    </w:tbl>
    <w:p w14:paraId="3D240345" w14:textId="77777777" w:rsidR="00E179AD" w:rsidRPr="00A5701A" w:rsidRDefault="00E179AD" w:rsidP="00E179AD">
      <w:pPr>
        <w:jc w:val="center"/>
        <w:rPr>
          <w:rFonts w:ascii="Times New Roman" w:hAnsi="Times New Roman" w:cs="Times New Roman"/>
          <w:color w:val="000000"/>
          <w:sz w:val="20"/>
          <w:szCs w:val="20"/>
        </w:rPr>
      </w:pPr>
      <w:r w:rsidRPr="00A5701A">
        <w:rPr>
          <w:rFonts w:ascii="Times New Roman" w:hAnsi="Times New Roman" w:cs="Times New Roman"/>
          <w:color w:val="000000"/>
          <w:sz w:val="20"/>
          <w:szCs w:val="20"/>
        </w:rPr>
        <w:t>Fonte: A Autora</w:t>
      </w:r>
    </w:p>
    <w:p w14:paraId="338AF009" w14:textId="52F30921" w:rsidR="00E179AD" w:rsidRDefault="00E179AD" w:rsidP="00AB24AE">
      <w:pPr>
        <w:rPr>
          <w:rFonts w:ascii="Times New Roman" w:hAnsi="Times New Roman" w:cs="Times New Roman"/>
          <w:szCs w:val="24"/>
        </w:rPr>
      </w:pPr>
      <w:r w:rsidRPr="00A5701A">
        <w:rPr>
          <w:rFonts w:ascii="Times New Roman" w:hAnsi="Times New Roman" w:cs="Times New Roman"/>
          <w:szCs w:val="24"/>
          <w:shd w:val="clear" w:color="auto" w:fill="FFFFFF"/>
        </w:rPr>
        <w:t xml:space="preserve">A tabela </w:t>
      </w:r>
      <w:r w:rsidR="00A41D68" w:rsidRPr="00A5701A">
        <w:rPr>
          <w:rFonts w:ascii="Times New Roman" w:hAnsi="Times New Roman" w:cs="Times New Roman"/>
          <w:szCs w:val="24"/>
          <w:shd w:val="clear" w:color="auto" w:fill="FFFFFF"/>
        </w:rPr>
        <w:t>4</w:t>
      </w:r>
      <w:r w:rsidRPr="00A5701A">
        <w:rPr>
          <w:rFonts w:ascii="Times New Roman" w:hAnsi="Times New Roman" w:cs="Times New Roman"/>
          <w:szCs w:val="24"/>
          <w:shd w:val="clear" w:color="auto" w:fill="FFFFFF"/>
        </w:rPr>
        <w:t xml:space="preserve"> apresenta o resumo do modelo proposto e os coeficientes de ajustes R</w:t>
      </w:r>
      <w:r w:rsidRPr="00A5701A">
        <w:rPr>
          <w:rFonts w:ascii="Times New Roman" w:hAnsi="Times New Roman" w:cs="Times New Roman"/>
          <w:szCs w:val="24"/>
          <w:shd w:val="clear" w:color="auto" w:fill="FFFFFF"/>
          <w:vertAlign w:val="superscript"/>
        </w:rPr>
        <w:t>2</w:t>
      </w:r>
      <w:r w:rsidRPr="00A5701A">
        <w:rPr>
          <w:rFonts w:ascii="Times New Roman" w:hAnsi="Times New Roman" w:cs="Times New Roman"/>
          <w:szCs w:val="24"/>
          <w:shd w:val="clear" w:color="auto" w:fill="FFFFFF"/>
        </w:rPr>
        <w:t xml:space="preserve"> e R</w:t>
      </w:r>
      <w:r w:rsidRPr="00A5701A">
        <w:rPr>
          <w:rFonts w:ascii="Times New Roman" w:hAnsi="Times New Roman" w:cs="Times New Roman"/>
          <w:szCs w:val="24"/>
          <w:shd w:val="clear" w:color="auto" w:fill="FFFFFF"/>
          <w:vertAlign w:val="superscript"/>
        </w:rPr>
        <w:t>2</w:t>
      </w:r>
      <w:r w:rsidRPr="00A5701A">
        <w:rPr>
          <w:rFonts w:ascii="Times New Roman" w:hAnsi="Times New Roman" w:cs="Times New Roman"/>
          <w:szCs w:val="24"/>
          <w:shd w:val="clear" w:color="auto" w:fill="FFFFFF"/>
        </w:rPr>
        <w:t xml:space="preserve"> ajustado.</w:t>
      </w:r>
      <w:r w:rsidR="00AB24AE" w:rsidRPr="00A5701A">
        <w:rPr>
          <w:rFonts w:ascii="Times New Roman" w:hAnsi="Times New Roman" w:cs="Times New Roman"/>
          <w:szCs w:val="24"/>
          <w:shd w:val="clear" w:color="auto" w:fill="FFFFFF"/>
        </w:rPr>
        <w:t xml:space="preserve"> </w:t>
      </w:r>
      <w:r w:rsidRPr="00A5701A">
        <w:rPr>
          <w:rFonts w:ascii="Times New Roman" w:hAnsi="Times New Roman" w:cs="Times New Roman"/>
          <w:szCs w:val="24"/>
        </w:rPr>
        <w:t>O R</w:t>
      </w:r>
      <w:r w:rsidRPr="00A5701A">
        <w:rPr>
          <w:rFonts w:ascii="Times New Roman" w:hAnsi="Times New Roman" w:cs="Times New Roman"/>
          <w:szCs w:val="24"/>
          <w:vertAlign w:val="superscript"/>
        </w:rPr>
        <w:t>2</w:t>
      </w:r>
      <w:r w:rsidRPr="00A5701A">
        <w:rPr>
          <w:rFonts w:ascii="Times New Roman" w:hAnsi="Times New Roman" w:cs="Times New Roman"/>
          <w:szCs w:val="24"/>
        </w:rPr>
        <w:t xml:space="preserve"> varia entre 0 e 1, correspondendo de 0 a 100. É também conhecido como o coeficiente de determinação, ou coeficiente de determinação múltipla para a regressão múltipla. De acordo com os cálculos realizados no software SPSS, observa-se na tabela </w:t>
      </w:r>
      <w:r w:rsidR="00A41D68" w:rsidRPr="00A5701A">
        <w:rPr>
          <w:rFonts w:ascii="Times New Roman" w:hAnsi="Times New Roman" w:cs="Times New Roman"/>
          <w:szCs w:val="24"/>
        </w:rPr>
        <w:t>4</w:t>
      </w:r>
      <w:r w:rsidRPr="00A5701A">
        <w:rPr>
          <w:rFonts w:ascii="Times New Roman" w:hAnsi="Times New Roman" w:cs="Times New Roman"/>
          <w:szCs w:val="24"/>
        </w:rPr>
        <w:t xml:space="preserve"> que a densidade populacional tem o poder de explicação de 26% do índice de qualidade de vida.</w:t>
      </w:r>
    </w:p>
    <w:p w14:paraId="50B20BCE" w14:textId="77777777" w:rsidR="00B50909" w:rsidRPr="00A5701A" w:rsidRDefault="00B50909" w:rsidP="00AB24AE">
      <w:pPr>
        <w:rPr>
          <w:rFonts w:ascii="Times New Roman" w:hAnsi="Times New Roman" w:cs="Times New Roman"/>
          <w:szCs w:val="24"/>
        </w:rPr>
      </w:pPr>
    </w:p>
    <w:tbl>
      <w:tblPr>
        <w:tblW w:w="7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8"/>
        <w:gridCol w:w="1192"/>
        <w:gridCol w:w="1494"/>
        <w:gridCol w:w="1707"/>
        <w:gridCol w:w="2356"/>
      </w:tblGrid>
      <w:tr w:rsidR="00E179AD" w:rsidRPr="00A1795E" w14:paraId="69CF6720" w14:textId="77777777" w:rsidTr="00A5701A">
        <w:trPr>
          <w:cantSplit/>
          <w:jc w:val="center"/>
        </w:trPr>
        <w:tc>
          <w:tcPr>
            <w:tcW w:w="7797" w:type="dxa"/>
            <w:gridSpan w:val="5"/>
            <w:tcBorders>
              <w:top w:val="nil"/>
              <w:left w:val="nil"/>
              <w:bottom w:val="single" w:sz="8" w:space="0" w:color="000000"/>
              <w:right w:val="nil"/>
            </w:tcBorders>
            <w:shd w:val="clear" w:color="auto" w:fill="FFFFFF"/>
            <w:vAlign w:val="center"/>
          </w:tcPr>
          <w:p w14:paraId="24B90A5D" w14:textId="5A67E2B9" w:rsidR="00E179AD" w:rsidRPr="00A5701A" w:rsidRDefault="00E179AD" w:rsidP="00A5701A">
            <w:pPr>
              <w:autoSpaceDE w:val="0"/>
              <w:autoSpaceDN w:val="0"/>
              <w:adjustRightInd w:val="0"/>
              <w:spacing w:line="320" w:lineRule="atLeast"/>
              <w:ind w:left="60" w:right="60"/>
              <w:jc w:val="center"/>
              <w:rPr>
                <w:rFonts w:cs="Arial"/>
                <w:color w:val="000000"/>
                <w:sz w:val="20"/>
                <w:szCs w:val="20"/>
              </w:rPr>
            </w:pPr>
            <w:r w:rsidRPr="00A5701A">
              <w:rPr>
                <w:rFonts w:cs="Arial"/>
                <w:color w:val="000000"/>
                <w:sz w:val="20"/>
                <w:szCs w:val="20"/>
              </w:rPr>
              <w:t xml:space="preserve">Tabela </w:t>
            </w:r>
            <w:r w:rsidR="00A41D68" w:rsidRPr="00A5701A">
              <w:rPr>
                <w:rFonts w:cs="Arial"/>
                <w:color w:val="000000"/>
                <w:sz w:val="20"/>
                <w:szCs w:val="20"/>
              </w:rPr>
              <w:t>4</w:t>
            </w:r>
            <w:r w:rsidRPr="00A5701A">
              <w:rPr>
                <w:rFonts w:cs="Arial"/>
                <w:color w:val="000000"/>
                <w:sz w:val="20"/>
                <w:szCs w:val="20"/>
              </w:rPr>
              <w:t xml:space="preserve"> - Resumo do modelo</w:t>
            </w:r>
            <w:r w:rsidRPr="00A5701A">
              <w:rPr>
                <w:rFonts w:cs="Arial"/>
                <w:color w:val="000000"/>
                <w:sz w:val="20"/>
                <w:szCs w:val="20"/>
                <w:vertAlign w:val="superscript"/>
              </w:rPr>
              <w:t>b</w:t>
            </w:r>
          </w:p>
        </w:tc>
      </w:tr>
      <w:tr w:rsidR="00E179AD" w:rsidRPr="00A1795E" w14:paraId="19C9819B" w14:textId="77777777" w:rsidTr="00A5701A">
        <w:trPr>
          <w:cantSplit/>
          <w:jc w:val="center"/>
        </w:trPr>
        <w:tc>
          <w:tcPr>
            <w:tcW w:w="1048" w:type="dxa"/>
            <w:tcBorders>
              <w:top w:val="single" w:sz="8" w:space="0" w:color="000000"/>
              <w:left w:val="single" w:sz="8" w:space="0" w:color="000000"/>
              <w:bottom w:val="single" w:sz="8" w:space="0" w:color="000000"/>
              <w:right w:val="single" w:sz="8" w:space="0" w:color="000000"/>
            </w:tcBorders>
            <w:shd w:val="clear" w:color="auto" w:fill="FFFFFF"/>
          </w:tcPr>
          <w:p w14:paraId="54B4328E" w14:textId="77777777" w:rsidR="00E179AD" w:rsidRPr="00204C4D" w:rsidRDefault="00E179AD" w:rsidP="00A5701A">
            <w:pPr>
              <w:autoSpaceDE w:val="0"/>
              <w:autoSpaceDN w:val="0"/>
              <w:adjustRightInd w:val="0"/>
              <w:spacing w:line="240" w:lineRule="auto"/>
              <w:ind w:left="60" w:right="60"/>
              <w:jc w:val="center"/>
              <w:rPr>
                <w:rFonts w:cs="Arial"/>
                <w:color w:val="000000"/>
                <w:sz w:val="18"/>
                <w:szCs w:val="18"/>
              </w:rPr>
            </w:pPr>
            <w:r w:rsidRPr="00204C4D">
              <w:rPr>
                <w:rFonts w:cs="Arial"/>
                <w:color w:val="000000"/>
                <w:sz w:val="18"/>
                <w:szCs w:val="18"/>
              </w:rPr>
              <w:t>Modelo</w:t>
            </w:r>
          </w:p>
        </w:tc>
        <w:tc>
          <w:tcPr>
            <w:tcW w:w="1192" w:type="dxa"/>
            <w:tcBorders>
              <w:top w:val="single" w:sz="8" w:space="0" w:color="000000"/>
              <w:left w:val="single" w:sz="8" w:space="0" w:color="000000"/>
              <w:bottom w:val="single" w:sz="8" w:space="0" w:color="000000"/>
              <w:right w:val="single" w:sz="8" w:space="0" w:color="000000"/>
            </w:tcBorders>
            <w:shd w:val="clear" w:color="auto" w:fill="FFFFFF"/>
          </w:tcPr>
          <w:p w14:paraId="20045C10" w14:textId="77777777" w:rsidR="00E179AD" w:rsidRPr="00204C4D" w:rsidRDefault="00E179AD" w:rsidP="00A5701A">
            <w:pPr>
              <w:autoSpaceDE w:val="0"/>
              <w:autoSpaceDN w:val="0"/>
              <w:adjustRightInd w:val="0"/>
              <w:spacing w:line="240" w:lineRule="auto"/>
              <w:ind w:left="60" w:right="60"/>
              <w:jc w:val="center"/>
              <w:rPr>
                <w:rFonts w:cs="Arial"/>
                <w:color w:val="000000"/>
                <w:sz w:val="18"/>
                <w:szCs w:val="18"/>
              </w:rPr>
            </w:pPr>
            <w:r w:rsidRPr="00204C4D">
              <w:rPr>
                <w:rFonts w:cs="Arial"/>
                <w:color w:val="000000"/>
                <w:sz w:val="18"/>
                <w:szCs w:val="18"/>
              </w:rPr>
              <w:t>R</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14:paraId="624C898F" w14:textId="77777777" w:rsidR="00E179AD" w:rsidRPr="00204C4D" w:rsidRDefault="00E179AD" w:rsidP="00A5701A">
            <w:pPr>
              <w:autoSpaceDE w:val="0"/>
              <w:autoSpaceDN w:val="0"/>
              <w:adjustRightInd w:val="0"/>
              <w:spacing w:line="240" w:lineRule="auto"/>
              <w:ind w:left="60" w:right="60"/>
              <w:jc w:val="center"/>
              <w:rPr>
                <w:rFonts w:cs="Arial"/>
                <w:color w:val="000000"/>
                <w:sz w:val="18"/>
                <w:szCs w:val="18"/>
              </w:rPr>
            </w:pPr>
            <w:r w:rsidRPr="00204C4D">
              <w:rPr>
                <w:rFonts w:cs="Arial"/>
                <w:color w:val="000000"/>
                <w:sz w:val="18"/>
                <w:szCs w:val="18"/>
              </w:rPr>
              <w:t>R quadrado</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Pr>
          <w:p w14:paraId="2D46122F" w14:textId="77777777" w:rsidR="00E179AD" w:rsidRPr="00A5701A" w:rsidRDefault="00E179AD" w:rsidP="00A5701A">
            <w:pPr>
              <w:autoSpaceDE w:val="0"/>
              <w:autoSpaceDN w:val="0"/>
              <w:adjustRightInd w:val="0"/>
              <w:spacing w:line="240" w:lineRule="auto"/>
              <w:ind w:left="60" w:right="60"/>
              <w:jc w:val="center"/>
              <w:rPr>
                <w:rFonts w:cs="Arial"/>
                <w:color w:val="000000"/>
                <w:sz w:val="20"/>
                <w:szCs w:val="20"/>
              </w:rPr>
            </w:pPr>
            <w:r w:rsidRPr="00A5701A">
              <w:rPr>
                <w:rFonts w:cs="Arial"/>
                <w:color w:val="000000"/>
                <w:sz w:val="20"/>
                <w:szCs w:val="20"/>
              </w:rPr>
              <w:t>R quadrado ajustado</w:t>
            </w:r>
          </w:p>
        </w:tc>
        <w:tc>
          <w:tcPr>
            <w:tcW w:w="2356" w:type="dxa"/>
            <w:tcBorders>
              <w:top w:val="single" w:sz="8" w:space="0" w:color="000000"/>
              <w:left w:val="single" w:sz="8" w:space="0" w:color="000000"/>
              <w:bottom w:val="single" w:sz="8" w:space="0" w:color="000000"/>
              <w:right w:val="single" w:sz="8" w:space="0" w:color="000000"/>
            </w:tcBorders>
            <w:shd w:val="clear" w:color="auto" w:fill="FFFFFF"/>
          </w:tcPr>
          <w:p w14:paraId="743469BE" w14:textId="77777777" w:rsidR="00E179AD" w:rsidRPr="00A5701A" w:rsidRDefault="00E179AD" w:rsidP="00A5701A">
            <w:pPr>
              <w:autoSpaceDE w:val="0"/>
              <w:autoSpaceDN w:val="0"/>
              <w:adjustRightInd w:val="0"/>
              <w:spacing w:line="240" w:lineRule="auto"/>
              <w:ind w:left="60" w:right="60"/>
              <w:jc w:val="center"/>
              <w:rPr>
                <w:rFonts w:cs="Arial"/>
                <w:color w:val="000000"/>
                <w:sz w:val="20"/>
                <w:szCs w:val="20"/>
              </w:rPr>
            </w:pPr>
            <w:r w:rsidRPr="00A5701A">
              <w:rPr>
                <w:rFonts w:cs="Arial"/>
                <w:color w:val="000000"/>
                <w:sz w:val="20"/>
                <w:szCs w:val="20"/>
              </w:rPr>
              <w:t>Erro padrão da estimativa</w:t>
            </w:r>
          </w:p>
        </w:tc>
      </w:tr>
      <w:tr w:rsidR="00E179AD" w:rsidRPr="00A1795E" w14:paraId="0CA9E38F" w14:textId="77777777" w:rsidTr="00A5701A">
        <w:trPr>
          <w:cantSplit/>
          <w:jc w:val="center"/>
        </w:trPr>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DDA38" w14:textId="77777777" w:rsidR="00E179AD" w:rsidRPr="00204C4D" w:rsidRDefault="00E179AD" w:rsidP="00A5701A">
            <w:pPr>
              <w:autoSpaceDE w:val="0"/>
              <w:autoSpaceDN w:val="0"/>
              <w:adjustRightInd w:val="0"/>
              <w:spacing w:line="320" w:lineRule="atLeast"/>
              <w:ind w:left="60" w:right="60"/>
              <w:jc w:val="center"/>
              <w:rPr>
                <w:rFonts w:cs="Arial"/>
                <w:color w:val="000000"/>
                <w:sz w:val="18"/>
                <w:szCs w:val="18"/>
              </w:rPr>
            </w:pPr>
            <w:r w:rsidRPr="00204C4D">
              <w:rPr>
                <w:rFonts w:cs="Arial"/>
                <w:color w:val="000000"/>
                <w:sz w:val="18"/>
                <w:szCs w:val="18"/>
              </w:rPr>
              <w:t>1</w:t>
            </w:r>
          </w:p>
        </w:tc>
        <w:tc>
          <w:tcPr>
            <w:tcW w:w="11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29780E" w14:textId="77777777" w:rsidR="00E179AD" w:rsidRPr="00204C4D" w:rsidRDefault="00E179AD" w:rsidP="00A5701A">
            <w:pPr>
              <w:autoSpaceDE w:val="0"/>
              <w:autoSpaceDN w:val="0"/>
              <w:adjustRightInd w:val="0"/>
              <w:spacing w:line="320" w:lineRule="atLeast"/>
              <w:ind w:left="60" w:right="60"/>
              <w:jc w:val="center"/>
              <w:rPr>
                <w:rFonts w:cs="Arial"/>
                <w:color w:val="000000"/>
                <w:sz w:val="18"/>
                <w:szCs w:val="18"/>
              </w:rPr>
            </w:pPr>
            <w:r w:rsidRPr="00204C4D">
              <w:rPr>
                <w:rFonts w:cs="Arial"/>
                <w:color w:val="000000"/>
                <w:sz w:val="18"/>
                <w:szCs w:val="18"/>
              </w:rPr>
              <w:t>,511</w:t>
            </w:r>
            <w:r w:rsidRPr="00204C4D">
              <w:rPr>
                <w:rFonts w:cs="Arial"/>
                <w:color w:val="000000"/>
                <w:sz w:val="18"/>
                <w:szCs w:val="18"/>
                <w:vertAlign w:val="superscript"/>
              </w:rPr>
              <w:t>a</w:t>
            </w:r>
          </w:p>
        </w:tc>
        <w:tc>
          <w:tcPr>
            <w:tcW w:w="149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EEF5F2A" w14:textId="77777777" w:rsidR="00E179AD" w:rsidRPr="00204C4D" w:rsidRDefault="00E179AD" w:rsidP="00A5701A">
            <w:pPr>
              <w:autoSpaceDE w:val="0"/>
              <w:autoSpaceDN w:val="0"/>
              <w:adjustRightInd w:val="0"/>
              <w:spacing w:line="320" w:lineRule="atLeast"/>
              <w:ind w:left="60" w:right="60"/>
              <w:jc w:val="center"/>
              <w:rPr>
                <w:rFonts w:cs="Arial"/>
                <w:color w:val="000000"/>
                <w:sz w:val="18"/>
                <w:szCs w:val="18"/>
              </w:rPr>
            </w:pPr>
            <w:r w:rsidRPr="00204C4D">
              <w:rPr>
                <w:rFonts w:cs="Arial"/>
                <w:color w:val="000000"/>
                <w:sz w:val="18"/>
                <w:szCs w:val="18"/>
                <w:highlight w:val="yellow"/>
              </w:rPr>
              <w:t>,261</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022C34C" w14:textId="77777777" w:rsidR="00E179AD" w:rsidRPr="00A5701A" w:rsidRDefault="00E179AD" w:rsidP="00A5701A">
            <w:pPr>
              <w:autoSpaceDE w:val="0"/>
              <w:autoSpaceDN w:val="0"/>
              <w:adjustRightInd w:val="0"/>
              <w:spacing w:line="320" w:lineRule="atLeast"/>
              <w:ind w:left="60" w:right="60"/>
              <w:jc w:val="center"/>
              <w:rPr>
                <w:rFonts w:cs="Arial"/>
                <w:color w:val="000000"/>
                <w:sz w:val="20"/>
                <w:szCs w:val="20"/>
              </w:rPr>
            </w:pPr>
            <w:r w:rsidRPr="00A5701A">
              <w:rPr>
                <w:rFonts w:cs="Arial"/>
                <w:color w:val="000000"/>
                <w:sz w:val="20"/>
                <w:szCs w:val="20"/>
              </w:rPr>
              <w:t>,257</w:t>
            </w:r>
          </w:p>
        </w:tc>
        <w:tc>
          <w:tcPr>
            <w:tcW w:w="23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AB09F6" w14:textId="77777777" w:rsidR="00E179AD" w:rsidRPr="00A5701A" w:rsidRDefault="00E179AD" w:rsidP="00A5701A">
            <w:pPr>
              <w:autoSpaceDE w:val="0"/>
              <w:autoSpaceDN w:val="0"/>
              <w:adjustRightInd w:val="0"/>
              <w:spacing w:line="320" w:lineRule="atLeast"/>
              <w:ind w:left="60" w:right="60"/>
              <w:jc w:val="center"/>
              <w:rPr>
                <w:rFonts w:cs="Arial"/>
                <w:color w:val="000000"/>
                <w:sz w:val="20"/>
                <w:szCs w:val="20"/>
              </w:rPr>
            </w:pPr>
            <w:r w:rsidRPr="00A5701A">
              <w:rPr>
                <w:rFonts w:cs="Arial"/>
                <w:color w:val="000000"/>
                <w:sz w:val="20"/>
                <w:szCs w:val="20"/>
              </w:rPr>
              <w:t>31,98178</w:t>
            </w:r>
          </w:p>
        </w:tc>
      </w:tr>
      <w:tr w:rsidR="00E179AD" w:rsidRPr="00A1795E" w14:paraId="428B9D76" w14:textId="77777777" w:rsidTr="00A5701A">
        <w:trPr>
          <w:cantSplit/>
          <w:jc w:val="center"/>
        </w:trPr>
        <w:tc>
          <w:tcPr>
            <w:tcW w:w="7797" w:type="dxa"/>
            <w:gridSpan w:val="5"/>
            <w:tcBorders>
              <w:top w:val="single" w:sz="8" w:space="0" w:color="000000"/>
              <w:left w:val="nil"/>
              <w:bottom w:val="nil"/>
              <w:right w:val="nil"/>
            </w:tcBorders>
            <w:shd w:val="clear" w:color="auto" w:fill="FFFFFF"/>
          </w:tcPr>
          <w:p w14:paraId="6C8B9979" w14:textId="77777777" w:rsidR="00E179AD" w:rsidRPr="00A5701A" w:rsidRDefault="00E179AD"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a. Preditores: (Constante), DensidadePop</w:t>
            </w:r>
          </w:p>
        </w:tc>
      </w:tr>
      <w:tr w:rsidR="00E179AD" w:rsidRPr="00447E36" w14:paraId="6FFFC091" w14:textId="77777777" w:rsidTr="00A5701A">
        <w:trPr>
          <w:cantSplit/>
          <w:jc w:val="center"/>
        </w:trPr>
        <w:tc>
          <w:tcPr>
            <w:tcW w:w="7797" w:type="dxa"/>
            <w:gridSpan w:val="5"/>
            <w:tcBorders>
              <w:top w:val="nil"/>
              <w:left w:val="nil"/>
              <w:bottom w:val="nil"/>
              <w:right w:val="nil"/>
            </w:tcBorders>
            <w:shd w:val="clear" w:color="auto" w:fill="FFFFFF"/>
          </w:tcPr>
          <w:p w14:paraId="01247DEE" w14:textId="77777777" w:rsidR="00E179AD" w:rsidRPr="00A5701A" w:rsidRDefault="00E179AD" w:rsidP="00A5701A">
            <w:pPr>
              <w:autoSpaceDE w:val="0"/>
              <w:autoSpaceDN w:val="0"/>
              <w:adjustRightInd w:val="0"/>
              <w:spacing w:line="240" w:lineRule="auto"/>
              <w:ind w:left="60" w:right="60"/>
              <w:jc w:val="center"/>
              <w:rPr>
                <w:rFonts w:ascii="Times New Roman" w:hAnsi="Times New Roman" w:cs="Times New Roman"/>
                <w:color w:val="000000"/>
                <w:sz w:val="18"/>
                <w:szCs w:val="18"/>
                <w:lang w:val="en-US"/>
              </w:rPr>
            </w:pPr>
            <w:r w:rsidRPr="00A5701A">
              <w:rPr>
                <w:rFonts w:ascii="Times New Roman" w:hAnsi="Times New Roman" w:cs="Times New Roman"/>
                <w:color w:val="000000"/>
                <w:sz w:val="18"/>
                <w:szCs w:val="18"/>
                <w:lang w:val="en-US"/>
              </w:rPr>
              <w:t>b. Variável Dependente: Quality of Life Index</w:t>
            </w:r>
          </w:p>
        </w:tc>
      </w:tr>
    </w:tbl>
    <w:p w14:paraId="418B61DA" w14:textId="12287A75" w:rsidR="00E179AD" w:rsidRDefault="00E179AD" w:rsidP="00A5701A">
      <w:pPr>
        <w:spacing w:line="240" w:lineRule="auto"/>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Fonte: A Autora</w:t>
      </w:r>
    </w:p>
    <w:p w14:paraId="35EE8EF4" w14:textId="1BEF062D" w:rsidR="000C2A11" w:rsidRDefault="000C2A11" w:rsidP="00A5701A">
      <w:pPr>
        <w:spacing w:line="240" w:lineRule="auto"/>
        <w:jc w:val="center"/>
        <w:rPr>
          <w:rFonts w:ascii="Times New Roman" w:hAnsi="Times New Roman" w:cs="Times New Roman"/>
          <w:color w:val="000000"/>
          <w:sz w:val="18"/>
          <w:szCs w:val="18"/>
        </w:rPr>
      </w:pPr>
    </w:p>
    <w:p w14:paraId="3BCCB687" w14:textId="64452028" w:rsidR="000C2A11" w:rsidRDefault="000C2A11" w:rsidP="00A5701A">
      <w:pPr>
        <w:spacing w:line="240" w:lineRule="auto"/>
        <w:jc w:val="center"/>
        <w:rPr>
          <w:rFonts w:ascii="Times New Roman" w:hAnsi="Times New Roman" w:cs="Times New Roman"/>
          <w:color w:val="000000"/>
          <w:sz w:val="18"/>
          <w:szCs w:val="18"/>
        </w:rPr>
      </w:pPr>
    </w:p>
    <w:p w14:paraId="4AEF97C4" w14:textId="73191269" w:rsidR="000C2A11" w:rsidRDefault="000C2A11" w:rsidP="00A5701A">
      <w:pPr>
        <w:spacing w:line="240" w:lineRule="auto"/>
        <w:jc w:val="center"/>
        <w:rPr>
          <w:rFonts w:ascii="Times New Roman" w:hAnsi="Times New Roman" w:cs="Times New Roman"/>
          <w:color w:val="000000"/>
          <w:sz w:val="18"/>
          <w:szCs w:val="18"/>
        </w:rPr>
      </w:pPr>
    </w:p>
    <w:p w14:paraId="23E44CDE" w14:textId="77777777" w:rsidR="000C2A11" w:rsidRPr="00A5701A" w:rsidRDefault="000C2A11" w:rsidP="00A5701A">
      <w:pPr>
        <w:spacing w:line="240" w:lineRule="auto"/>
        <w:jc w:val="center"/>
        <w:rPr>
          <w:rFonts w:ascii="Times New Roman" w:hAnsi="Times New Roman" w:cs="Times New Roman"/>
          <w:color w:val="000000"/>
          <w:sz w:val="18"/>
          <w:szCs w:val="18"/>
        </w:rPr>
      </w:pPr>
    </w:p>
    <w:p w14:paraId="2E8B4B3C" w14:textId="36FECD04" w:rsidR="00315326" w:rsidRPr="00A5701A" w:rsidRDefault="00315326" w:rsidP="00315326">
      <w:pPr>
        <w:rPr>
          <w:rFonts w:ascii="Times New Roman" w:hAnsi="Times New Roman" w:cs="Times New Roman"/>
          <w:b/>
          <w:bCs/>
        </w:rPr>
      </w:pPr>
      <w:bookmarkStart w:id="5" w:name="_Toc52456902"/>
      <w:r w:rsidRPr="00A5701A">
        <w:rPr>
          <w:rFonts w:ascii="Times New Roman" w:hAnsi="Times New Roman" w:cs="Times New Roman"/>
          <w:b/>
          <w:bCs/>
        </w:rPr>
        <w:lastRenderedPageBreak/>
        <w:t>3.</w:t>
      </w:r>
      <w:r w:rsidR="00B64D96">
        <w:rPr>
          <w:rFonts w:ascii="Times New Roman" w:hAnsi="Times New Roman" w:cs="Times New Roman"/>
          <w:b/>
          <w:bCs/>
        </w:rPr>
        <w:t>3</w:t>
      </w:r>
      <w:r w:rsidRPr="00A5701A">
        <w:rPr>
          <w:rFonts w:ascii="Times New Roman" w:hAnsi="Times New Roman" w:cs="Times New Roman"/>
          <w:b/>
          <w:bCs/>
        </w:rPr>
        <w:t xml:space="preserve"> Verificação do poder de explicação das variáveis que compõe o índice de qualidade de vida pela densidade populacional</w:t>
      </w:r>
      <w:bookmarkEnd w:id="5"/>
      <w:r w:rsidRPr="00A5701A">
        <w:rPr>
          <w:rFonts w:ascii="Times New Roman" w:hAnsi="Times New Roman" w:cs="Times New Roman"/>
          <w:b/>
          <w:bCs/>
        </w:rPr>
        <w:t xml:space="preserve">                                                                                </w:t>
      </w:r>
    </w:p>
    <w:p w14:paraId="5325A46C" w14:textId="61773796" w:rsidR="007C2A32" w:rsidRPr="002235E6" w:rsidRDefault="002235E6" w:rsidP="001839ED">
      <w:pPr>
        <w:rPr>
          <w:rFonts w:ascii="Times New Roman" w:hAnsi="Times New Roman" w:cs="Times New Roman"/>
          <w:szCs w:val="24"/>
        </w:rPr>
      </w:pPr>
      <w:r w:rsidRPr="002235E6">
        <w:rPr>
          <w:rFonts w:ascii="Times New Roman" w:hAnsi="Times New Roman" w:cs="Times New Roman"/>
        </w:rPr>
        <w:t xml:space="preserve">A outra regressão múltipla foi realizada para descobrir quanto, se os pesos fossem variados, as variáveis da qualidade de vida da Numbeo poderiam explicar a densidade populacional. </w:t>
      </w:r>
      <w:r w:rsidR="00F9403F" w:rsidRPr="002235E6">
        <w:rPr>
          <w:rFonts w:ascii="Times New Roman" w:hAnsi="Times New Roman" w:cs="Times New Roman"/>
          <w:szCs w:val="24"/>
          <w:shd w:val="clear" w:color="auto" w:fill="FFFFFF"/>
        </w:rPr>
        <w:t xml:space="preserve">A tabela </w:t>
      </w:r>
      <w:r w:rsidR="004C2F84" w:rsidRPr="002235E6">
        <w:rPr>
          <w:rFonts w:ascii="Times New Roman" w:hAnsi="Times New Roman" w:cs="Times New Roman"/>
          <w:szCs w:val="24"/>
          <w:shd w:val="clear" w:color="auto" w:fill="FFFFFF"/>
        </w:rPr>
        <w:t>5</w:t>
      </w:r>
      <w:r w:rsidR="00F9403F" w:rsidRPr="002235E6">
        <w:rPr>
          <w:rFonts w:ascii="Times New Roman" w:hAnsi="Times New Roman" w:cs="Times New Roman"/>
          <w:szCs w:val="24"/>
          <w:shd w:val="clear" w:color="auto" w:fill="FFFFFF"/>
        </w:rPr>
        <w:t xml:space="preserve"> apresenta o resumo do modelo proposto e os coeficientes de ajustes R</w:t>
      </w:r>
      <w:r w:rsidR="00F9403F" w:rsidRPr="002235E6">
        <w:rPr>
          <w:rFonts w:ascii="Times New Roman" w:hAnsi="Times New Roman" w:cs="Times New Roman"/>
          <w:szCs w:val="24"/>
          <w:shd w:val="clear" w:color="auto" w:fill="FFFFFF"/>
          <w:vertAlign w:val="superscript"/>
        </w:rPr>
        <w:t>2</w:t>
      </w:r>
      <w:r w:rsidR="00F9403F" w:rsidRPr="002235E6">
        <w:rPr>
          <w:rFonts w:ascii="Times New Roman" w:hAnsi="Times New Roman" w:cs="Times New Roman"/>
          <w:szCs w:val="24"/>
          <w:shd w:val="clear" w:color="auto" w:fill="FFFFFF"/>
        </w:rPr>
        <w:t xml:space="preserve"> e R</w:t>
      </w:r>
      <w:r w:rsidR="00F9403F" w:rsidRPr="002235E6">
        <w:rPr>
          <w:rFonts w:ascii="Times New Roman" w:hAnsi="Times New Roman" w:cs="Times New Roman"/>
          <w:szCs w:val="24"/>
          <w:shd w:val="clear" w:color="auto" w:fill="FFFFFF"/>
          <w:vertAlign w:val="superscript"/>
        </w:rPr>
        <w:t>2</w:t>
      </w:r>
      <w:r w:rsidR="00F9403F" w:rsidRPr="002235E6">
        <w:rPr>
          <w:rFonts w:ascii="Times New Roman" w:hAnsi="Times New Roman" w:cs="Times New Roman"/>
          <w:szCs w:val="24"/>
          <w:shd w:val="clear" w:color="auto" w:fill="FFFFFF"/>
        </w:rPr>
        <w:t xml:space="preserve"> ajustado.</w:t>
      </w:r>
      <w:r w:rsidR="007C2A32" w:rsidRPr="002235E6">
        <w:rPr>
          <w:rFonts w:ascii="Times New Roman" w:hAnsi="Times New Roman" w:cs="Times New Roman"/>
          <w:szCs w:val="24"/>
          <w:shd w:val="clear" w:color="auto" w:fill="FFFFFF"/>
        </w:rPr>
        <w:t xml:space="preserve"> </w:t>
      </w:r>
      <w:r w:rsidR="007C2A32" w:rsidRPr="002235E6">
        <w:rPr>
          <w:rFonts w:ascii="Times New Roman" w:hAnsi="Times New Roman" w:cs="Times New Roman"/>
          <w:szCs w:val="24"/>
        </w:rPr>
        <w:t xml:space="preserve">De acordo com os cálculos realizados no software SPSS, observa-se na tabela </w:t>
      </w:r>
      <w:r w:rsidR="004C2F84" w:rsidRPr="002235E6">
        <w:rPr>
          <w:rFonts w:ascii="Times New Roman" w:hAnsi="Times New Roman" w:cs="Times New Roman"/>
          <w:szCs w:val="24"/>
        </w:rPr>
        <w:t>5</w:t>
      </w:r>
      <w:r w:rsidR="007C2A32" w:rsidRPr="002235E6">
        <w:rPr>
          <w:rFonts w:ascii="Times New Roman" w:hAnsi="Times New Roman" w:cs="Times New Roman"/>
          <w:szCs w:val="24"/>
        </w:rPr>
        <w:t xml:space="preserve"> que as variáveis que compõe a qualidade de vida têm o poder de explicação de 32% da densidade populacional.</w:t>
      </w:r>
    </w:p>
    <w:p w14:paraId="62564A2D" w14:textId="77777777" w:rsidR="00DD0F41" w:rsidRDefault="00DD0F41" w:rsidP="001839ED">
      <w:pPr>
        <w:rPr>
          <w:rFonts w:cs="Arial"/>
          <w:szCs w:val="24"/>
        </w:rPr>
      </w:pP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8"/>
        <w:gridCol w:w="1192"/>
        <w:gridCol w:w="1494"/>
        <w:gridCol w:w="1707"/>
        <w:gridCol w:w="2639"/>
      </w:tblGrid>
      <w:tr w:rsidR="00651600" w:rsidRPr="00A1795E" w14:paraId="2CFFCD94" w14:textId="77777777" w:rsidTr="00A5701A">
        <w:trPr>
          <w:cantSplit/>
        </w:trPr>
        <w:tc>
          <w:tcPr>
            <w:tcW w:w="8080" w:type="dxa"/>
            <w:gridSpan w:val="5"/>
            <w:tcBorders>
              <w:top w:val="nil"/>
              <w:left w:val="nil"/>
              <w:bottom w:val="nil"/>
              <w:right w:val="nil"/>
            </w:tcBorders>
            <w:shd w:val="clear" w:color="auto" w:fill="FFFFFF"/>
            <w:vAlign w:val="center"/>
          </w:tcPr>
          <w:p w14:paraId="65E21300" w14:textId="03D71BF9" w:rsidR="00651600" w:rsidRPr="00A5701A" w:rsidRDefault="00C65CAC" w:rsidP="00A5701A">
            <w:pPr>
              <w:autoSpaceDE w:val="0"/>
              <w:autoSpaceDN w:val="0"/>
              <w:adjustRightInd w:val="0"/>
              <w:spacing w:line="320" w:lineRule="atLeast"/>
              <w:ind w:left="60" w:right="60"/>
              <w:jc w:val="center"/>
              <w:rPr>
                <w:rFonts w:ascii="Times New Roman" w:hAnsi="Times New Roman" w:cs="Times New Roman"/>
                <w:color w:val="000000"/>
                <w:sz w:val="20"/>
                <w:szCs w:val="20"/>
              </w:rPr>
            </w:pPr>
            <w:r w:rsidRPr="00A5701A">
              <w:rPr>
                <w:rFonts w:ascii="Times New Roman" w:hAnsi="Times New Roman" w:cs="Times New Roman"/>
                <w:color w:val="000000"/>
                <w:sz w:val="20"/>
                <w:szCs w:val="20"/>
              </w:rPr>
              <w:t xml:space="preserve">Tabela </w:t>
            </w:r>
            <w:r w:rsidR="004C2F84" w:rsidRPr="00A5701A">
              <w:rPr>
                <w:rFonts w:ascii="Times New Roman" w:hAnsi="Times New Roman" w:cs="Times New Roman"/>
                <w:color w:val="000000"/>
                <w:sz w:val="20"/>
                <w:szCs w:val="20"/>
              </w:rPr>
              <w:t>5</w:t>
            </w:r>
            <w:r w:rsidR="00651600" w:rsidRPr="00A5701A">
              <w:rPr>
                <w:rFonts w:ascii="Times New Roman" w:hAnsi="Times New Roman" w:cs="Times New Roman"/>
                <w:color w:val="000000"/>
                <w:sz w:val="20"/>
                <w:szCs w:val="20"/>
              </w:rPr>
              <w:t xml:space="preserve"> - Resumo do modelo</w:t>
            </w:r>
            <w:r w:rsidR="00651600" w:rsidRPr="00A5701A">
              <w:rPr>
                <w:rFonts w:ascii="Times New Roman" w:hAnsi="Times New Roman" w:cs="Times New Roman"/>
                <w:color w:val="000000"/>
                <w:sz w:val="20"/>
                <w:szCs w:val="20"/>
                <w:vertAlign w:val="superscript"/>
              </w:rPr>
              <w:t>b</w:t>
            </w:r>
          </w:p>
        </w:tc>
      </w:tr>
      <w:tr w:rsidR="00651600" w:rsidRPr="00A1795E" w14:paraId="204277B4" w14:textId="77777777" w:rsidTr="00A5701A">
        <w:trPr>
          <w:cantSplit/>
        </w:trPr>
        <w:tc>
          <w:tcPr>
            <w:tcW w:w="104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C7E73CA" w14:textId="77777777" w:rsidR="00651600" w:rsidRPr="00A5701A" w:rsidRDefault="00651600"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Modelo</w:t>
            </w:r>
          </w:p>
        </w:tc>
        <w:tc>
          <w:tcPr>
            <w:tcW w:w="1192" w:type="dxa"/>
            <w:tcBorders>
              <w:top w:val="single" w:sz="16" w:space="0" w:color="000000"/>
              <w:left w:val="single" w:sz="16" w:space="0" w:color="000000"/>
              <w:bottom w:val="single" w:sz="16" w:space="0" w:color="000000"/>
            </w:tcBorders>
            <w:shd w:val="clear" w:color="auto" w:fill="FFFFFF"/>
            <w:vAlign w:val="bottom"/>
          </w:tcPr>
          <w:p w14:paraId="4A2D0218" w14:textId="77777777" w:rsidR="00651600" w:rsidRPr="00A5701A" w:rsidRDefault="00651600"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R</w:t>
            </w:r>
          </w:p>
        </w:tc>
        <w:tc>
          <w:tcPr>
            <w:tcW w:w="1494" w:type="dxa"/>
            <w:tcBorders>
              <w:top w:val="single" w:sz="16" w:space="0" w:color="000000"/>
              <w:bottom w:val="single" w:sz="16" w:space="0" w:color="000000"/>
            </w:tcBorders>
            <w:shd w:val="clear" w:color="auto" w:fill="FFFFFF"/>
            <w:vAlign w:val="bottom"/>
          </w:tcPr>
          <w:p w14:paraId="3BB63A58" w14:textId="77777777" w:rsidR="00651600" w:rsidRPr="00A5701A" w:rsidRDefault="00651600"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R quadrado</w:t>
            </w:r>
          </w:p>
        </w:tc>
        <w:tc>
          <w:tcPr>
            <w:tcW w:w="1707" w:type="dxa"/>
            <w:tcBorders>
              <w:top w:val="single" w:sz="16" w:space="0" w:color="000000"/>
              <w:bottom w:val="single" w:sz="16" w:space="0" w:color="000000"/>
            </w:tcBorders>
            <w:shd w:val="clear" w:color="auto" w:fill="FFFFFF"/>
            <w:vAlign w:val="bottom"/>
          </w:tcPr>
          <w:p w14:paraId="58E923D3" w14:textId="77777777" w:rsidR="00651600" w:rsidRPr="00A5701A" w:rsidRDefault="00651600"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R quadrado ajustado</w:t>
            </w:r>
          </w:p>
        </w:tc>
        <w:tc>
          <w:tcPr>
            <w:tcW w:w="2639" w:type="dxa"/>
            <w:tcBorders>
              <w:top w:val="single" w:sz="16" w:space="0" w:color="000000"/>
              <w:bottom w:val="single" w:sz="16" w:space="0" w:color="000000"/>
              <w:right w:val="single" w:sz="16" w:space="0" w:color="000000"/>
            </w:tcBorders>
            <w:shd w:val="clear" w:color="auto" w:fill="FFFFFF"/>
            <w:vAlign w:val="bottom"/>
          </w:tcPr>
          <w:p w14:paraId="0310380A" w14:textId="77777777" w:rsidR="00651600" w:rsidRPr="00A5701A" w:rsidRDefault="00651600"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Erro padrão da estimativa</w:t>
            </w:r>
          </w:p>
        </w:tc>
      </w:tr>
      <w:tr w:rsidR="00651600" w:rsidRPr="00A1795E" w14:paraId="65C93C41" w14:textId="77777777" w:rsidTr="00A5701A">
        <w:trPr>
          <w:cantSplit/>
        </w:trPr>
        <w:tc>
          <w:tcPr>
            <w:tcW w:w="1048" w:type="dxa"/>
            <w:tcBorders>
              <w:top w:val="single" w:sz="16" w:space="0" w:color="000000"/>
              <w:left w:val="single" w:sz="16" w:space="0" w:color="000000"/>
              <w:bottom w:val="single" w:sz="16" w:space="0" w:color="000000"/>
              <w:right w:val="single" w:sz="16" w:space="0" w:color="000000"/>
            </w:tcBorders>
            <w:shd w:val="clear" w:color="auto" w:fill="FFFFFF"/>
          </w:tcPr>
          <w:p w14:paraId="30F70458" w14:textId="77777777" w:rsidR="00651600" w:rsidRPr="00A5701A" w:rsidRDefault="00651600"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w:t>
            </w:r>
          </w:p>
        </w:tc>
        <w:tc>
          <w:tcPr>
            <w:tcW w:w="1192" w:type="dxa"/>
            <w:tcBorders>
              <w:top w:val="single" w:sz="16" w:space="0" w:color="000000"/>
              <w:left w:val="single" w:sz="16" w:space="0" w:color="000000"/>
              <w:bottom w:val="single" w:sz="16" w:space="0" w:color="000000"/>
            </w:tcBorders>
            <w:shd w:val="clear" w:color="auto" w:fill="FFFFFF"/>
            <w:vAlign w:val="center"/>
          </w:tcPr>
          <w:p w14:paraId="0F6E672F" w14:textId="77777777" w:rsidR="00651600" w:rsidRPr="00A5701A" w:rsidRDefault="00651600"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,594</w:t>
            </w:r>
            <w:r w:rsidRPr="00A5701A">
              <w:rPr>
                <w:rFonts w:ascii="Times New Roman" w:hAnsi="Times New Roman" w:cs="Times New Roman"/>
                <w:color w:val="000000"/>
                <w:sz w:val="18"/>
                <w:szCs w:val="18"/>
                <w:vertAlign w:val="superscript"/>
              </w:rPr>
              <w:t>a</w:t>
            </w:r>
          </w:p>
        </w:tc>
        <w:tc>
          <w:tcPr>
            <w:tcW w:w="1494" w:type="dxa"/>
            <w:tcBorders>
              <w:top w:val="single" w:sz="16" w:space="0" w:color="000000"/>
              <w:bottom w:val="single" w:sz="16" w:space="0" w:color="000000"/>
            </w:tcBorders>
            <w:shd w:val="clear" w:color="auto" w:fill="FFFFFF"/>
            <w:vAlign w:val="center"/>
          </w:tcPr>
          <w:p w14:paraId="197926EE" w14:textId="77777777" w:rsidR="00651600" w:rsidRPr="00A5701A" w:rsidRDefault="00651600"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,353</w:t>
            </w:r>
          </w:p>
        </w:tc>
        <w:tc>
          <w:tcPr>
            <w:tcW w:w="1707" w:type="dxa"/>
            <w:tcBorders>
              <w:top w:val="single" w:sz="16" w:space="0" w:color="000000"/>
              <w:bottom w:val="single" w:sz="16" w:space="0" w:color="000000"/>
            </w:tcBorders>
            <w:shd w:val="clear" w:color="auto" w:fill="FFFF00"/>
            <w:vAlign w:val="center"/>
          </w:tcPr>
          <w:p w14:paraId="57D73C6B" w14:textId="77777777" w:rsidR="00651600" w:rsidRPr="00A5701A" w:rsidRDefault="00651600"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,322</w:t>
            </w:r>
          </w:p>
        </w:tc>
        <w:tc>
          <w:tcPr>
            <w:tcW w:w="2639" w:type="dxa"/>
            <w:tcBorders>
              <w:top w:val="single" w:sz="16" w:space="0" w:color="000000"/>
              <w:bottom w:val="single" w:sz="16" w:space="0" w:color="000000"/>
              <w:right w:val="single" w:sz="16" w:space="0" w:color="000000"/>
            </w:tcBorders>
            <w:shd w:val="clear" w:color="auto" w:fill="FFFFFF"/>
            <w:vAlign w:val="center"/>
          </w:tcPr>
          <w:p w14:paraId="7735CB68" w14:textId="77777777" w:rsidR="00651600" w:rsidRPr="00A5701A" w:rsidRDefault="00651600"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4413,857412</w:t>
            </w:r>
          </w:p>
        </w:tc>
      </w:tr>
      <w:tr w:rsidR="00651600" w:rsidRPr="00447E36" w14:paraId="11E8B2B0" w14:textId="77777777" w:rsidTr="00A5701A">
        <w:trPr>
          <w:cantSplit/>
        </w:trPr>
        <w:tc>
          <w:tcPr>
            <w:tcW w:w="8080" w:type="dxa"/>
            <w:gridSpan w:val="5"/>
            <w:tcBorders>
              <w:top w:val="nil"/>
              <w:left w:val="nil"/>
              <w:bottom w:val="nil"/>
              <w:right w:val="nil"/>
            </w:tcBorders>
            <w:shd w:val="clear" w:color="auto" w:fill="FFFFFF"/>
          </w:tcPr>
          <w:p w14:paraId="741983F8" w14:textId="77777777" w:rsidR="00651600" w:rsidRPr="00A5701A" w:rsidRDefault="00651600" w:rsidP="00A5701A">
            <w:pPr>
              <w:autoSpaceDE w:val="0"/>
              <w:autoSpaceDN w:val="0"/>
              <w:adjustRightInd w:val="0"/>
              <w:spacing w:line="320" w:lineRule="atLeast"/>
              <w:ind w:left="60" w:right="60"/>
              <w:jc w:val="center"/>
              <w:rPr>
                <w:rFonts w:ascii="Times New Roman" w:hAnsi="Times New Roman" w:cs="Times New Roman"/>
                <w:color w:val="000000"/>
                <w:sz w:val="18"/>
                <w:szCs w:val="18"/>
                <w:lang w:val="en-US"/>
              </w:rPr>
            </w:pPr>
            <w:r w:rsidRPr="00A5701A">
              <w:rPr>
                <w:rFonts w:ascii="Times New Roman" w:hAnsi="Times New Roman" w:cs="Times New Roman"/>
                <w:color w:val="000000"/>
                <w:sz w:val="18"/>
                <w:szCs w:val="18"/>
                <w:lang w:val="en-US"/>
              </w:rPr>
              <w:t>a. Preditores: (Constante), Climate Index, Health Care Index, Traffic Commute Time Index, Property Price to Income Ratio, Cost of Living Index, Safety Index, Pollution Index, Purchasing Power Index</w:t>
            </w:r>
          </w:p>
        </w:tc>
      </w:tr>
      <w:tr w:rsidR="00651600" w:rsidRPr="00A5701A" w14:paraId="705AC4DD" w14:textId="77777777" w:rsidTr="00A5701A">
        <w:trPr>
          <w:cantSplit/>
        </w:trPr>
        <w:tc>
          <w:tcPr>
            <w:tcW w:w="8080" w:type="dxa"/>
            <w:gridSpan w:val="5"/>
            <w:tcBorders>
              <w:top w:val="nil"/>
              <w:left w:val="nil"/>
              <w:bottom w:val="nil"/>
              <w:right w:val="nil"/>
            </w:tcBorders>
            <w:shd w:val="clear" w:color="auto" w:fill="FFFFFF"/>
          </w:tcPr>
          <w:p w14:paraId="271BCB80" w14:textId="6A28212C" w:rsidR="00651600" w:rsidRPr="00A5701A" w:rsidRDefault="00651600"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b. Variável Dependente: Densidade</w:t>
            </w:r>
            <w:r w:rsidR="0044200A" w:rsidRPr="00A5701A">
              <w:rPr>
                <w:rFonts w:ascii="Times New Roman" w:hAnsi="Times New Roman" w:cs="Times New Roman"/>
                <w:color w:val="000000"/>
                <w:sz w:val="18"/>
                <w:szCs w:val="18"/>
              </w:rPr>
              <w:t xml:space="preserve"> </w:t>
            </w:r>
            <w:r w:rsidRPr="00A5701A">
              <w:rPr>
                <w:rFonts w:ascii="Times New Roman" w:hAnsi="Times New Roman" w:cs="Times New Roman"/>
                <w:color w:val="000000"/>
                <w:sz w:val="18"/>
                <w:szCs w:val="18"/>
              </w:rPr>
              <w:t>Pop</w:t>
            </w:r>
          </w:p>
        </w:tc>
      </w:tr>
    </w:tbl>
    <w:p w14:paraId="653F4A8B" w14:textId="77777777" w:rsidR="00651600" w:rsidRPr="00A5701A" w:rsidRDefault="00651600" w:rsidP="00651600">
      <w:pPr>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Fonte: A autora</w:t>
      </w:r>
    </w:p>
    <w:p w14:paraId="47BA07EE" w14:textId="244BE7B3" w:rsidR="00C64F10" w:rsidRPr="00A5701A" w:rsidRDefault="00C64F10" w:rsidP="00C64F10">
      <w:pPr>
        <w:rPr>
          <w:rFonts w:ascii="Times New Roman" w:hAnsi="Times New Roman" w:cs="Times New Roman"/>
          <w:szCs w:val="24"/>
        </w:rPr>
      </w:pPr>
      <w:r w:rsidRPr="00A5701A">
        <w:rPr>
          <w:rFonts w:ascii="Times New Roman" w:hAnsi="Times New Roman" w:cs="Times New Roman"/>
          <w:szCs w:val="24"/>
        </w:rPr>
        <w:t>A tabela , está apresentado que o conjunto das variáveis que formam a qualidade de vida explicam 32,2 % do comportamento da densidade populacional. Significa que a informação que forma a qualidade explica mais percentualmente o comportamento da densidade populacional, do que a densidade populacional explica da qualidade de vida. Portanto, como as informações que formam a qualidade de vida tem um poder de explicação maior que a densidade populacional, conclui-se que a densidade populacional não está agregando informação para a construção do índice de qualidade de vida não sendo significativo ser colocada no conjunto dos indicadores. Porque a informação dela já está de alguma forma contida nestes indicadores.</w:t>
      </w:r>
      <w:r w:rsidR="00C9624C" w:rsidRPr="00A5701A">
        <w:rPr>
          <w:rFonts w:ascii="Times New Roman" w:hAnsi="Times New Roman" w:cs="Times New Roman"/>
          <w:szCs w:val="24"/>
        </w:rPr>
        <w:t xml:space="preserve"> </w:t>
      </w:r>
      <w:r w:rsidRPr="00A5701A">
        <w:rPr>
          <w:rFonts w:ascii="Times New Roman" w:hAnsi="Times New Roman" w:cs="Times New Roman"/>
          <w:szCs w:val="24"/>
        </w:rPr>
        <w:t xml:space="preserve">Concluímos que densidade populacional não é uma informação relevante para compor o ranking de qualidade de vida. </w:t>
      </w:r>
    </w:p>
    <w:p w14:paraId="347DBC05" w14:textId="77777777" w:rsidR="00A5701A" w:rsidRDefault="00A5701A" w:rsidP="007E2224">
      <w:pPr>
        <w:rPr>
          <w:b/>
          <w:bCs/>
        </w:rPr>
      </w:pPr>
    </w:p>
    <w:p w14:paraId="37EF082A" w14:textId="63EB1C4A" w:rsidR="007E2224" w:rsidRPr="00A5701A" w:rsidRDefault="00A4193F" w:rsidP="007E2224">
      <w:pPr>
        <w:rPr>
          <w:rFonts w:ascii="Times New Roman" w:hAnsi="Times New Roman" w:cs="Times New Roman"/>
          <w:b/>
          <w:bCs/>
        </w:rPr>
      </w:pPr>
      <w:r w:rsidRPr="00A5701A">
        <w:rPr>
          <w:rFonts w:ascii="Times New Roman" w:hAnsi="Times New Roman" w:cs="Times New Roman"/>
          <w:b/>
          <w:bCs/>
        </w:rPr>
        <w:t>3.</w:t>
      </w:r>
      <w:r w:rsidR="00747506">
        <w:rPr>
          <w:rFonts w:ascii="Times New Roman" w:hAnsi="Times New Roman" w:cs="Times New Roman"/>
          <w:b/>
          <w:bCs/>
        </w:rPr>
        <w:t>4</w:t>
      </w:r>
      <w:r w:rsidRPr="00A5701A">
        <w:rPr>
          <w:rFonts w:ascii="Times New Roman" w:hAnsi="Times New Roman" w:cs="Times New Roman"/>
          <w:b/>
          <w:bCs/>
        </w:rPr>
        <w:t xml:space="preserve"> </w:t>
      </w:r>
      <w:r w:rsidR="007E2224" w:rsidRPr="00A5701A">
        <w:rPr>
          <w:rFonts w:ascii="Times New Roman" w:hAnsi="Times New Roman" w:cs="Times New Roman"/>
          <w:b/>
          <w:bCs/>
        </w:rPr>
        <w:t xml:space="preserve">Correlação entre densidade e qualidade de vida </w:t>
      </w:r>
    </w:p>
    <w:p w14:paraId="153602E0" w14:textId="57E51EFE" w:rsidR="009960B7" w:rsidRDefault="00C9624C" w:rsidP="005629CA">
      <w:pPr>
        <w:rPr>
          <w:rFonts w:ascii="Times New Roman" w:hAnsi="Times New Roman" w:cs="Times New Roman"/>
          <w:szCs w:val="24"/>
        </w:rPr>
      </w:pPr>
      <w:r w:rsidRPr="00A5701A">
        <w:rPr>
          <w:rFonts w:ascii="Times New Roman" w:hAnsi="Times New Roman" w:cs="Times New Roman"/>
          <w:szCs w:val="24"/>
        </w:rPr>
        <w:t xml:space="preserve">Foi realizada uma correlação linear de Pearson para verificar se uma variável de saída (Y) no caso a qualidade de vida é afetada pela variável (X) a densidade populacional, além de analisada a existência de relação entre as duas. </w:t>
      </w:r>
      <w:r w:rsidR="009960B7" w:rsidRPr="00A5701A">
        <w:rPr>
          <w:rFonts w:ascii="Times New Roman" w:hAnsi="Times New Roman" w:cs="Times New Roman"/>
          <w:szCs w:val="24"/>
        </w:rPr>
        <w:t xml:space="preserve">A tabela </w:t>
      </w:r>
      <w:r w:rsidR="004C2F84" w:rsidRPr="00A5701A">
        <w:rPr>
          <w:rFonts w:ascii="Times New Roman" w:hAnsi="Times New Roman" w:cs="Times New Roman"/>
          <w:szCs w:val="24"/>
        </w:rPr>
        <w:t>6</w:t>
      </w:r>
      <w:r w:rsidR="009960B7" w:rsidRPr="00A5701A">
        <w:rPr>
          <w:rFonts w:ascii="Times New Roman" w:hAnsi="Times New Roman" w:cs="Times New Roman"/>
          <w:szCs w:val="24"/>
        </w:rPr>
        <w:t xml:space="preserve"> apresenta as correlações entre densidade e qualidade de vida</w:t>
      </w:r>
    </w:p>
    <w:p w14:paraId="0BE2CDB8" w14:textId="3E8EEDAE" w:rsidR="00696E90" w:rsidRDefault="00696E90" w:rsidP="005629CA">
      <w:pPr>
        <w:rPr>
          <w:rFonts w:ascii="Times New Roman" w:hAnsi="Times New Roman" w:cs="Times New Roman"/>
          <w:szCs w:val="24"/>
        </w:rPr>
      </w:pPr>
    </w:p>
    <w:p w14:paraId="0C40F592" w14:textId="77777777" w:rsidR="00696E90" w:rsidRPr="00A5701A" w:rsidRDefault="00696E90" w:rsidP="005629CA">
      <w:pPr>
        <w:rPr>
          <w:rFonts w:ascii="Times New Roman" w:hAnsi="Times New Roman" w:cs="Times New Roman"/>
          <w:szCs w:val="24"/>
        </w:rPr>
      </w:pPr>
    </w:p>
    <w:tbl>
      <w:tblPr>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1"/>
        <w:gridCol w:w="1640"/>
        <w:gridCol w:w="1417"/>
        <w:gridCol w:w="1276"/>
        <w:gridCol w:w="1276"/>
        <w:gridCol w:w="1417"/>
      </w:tblGrid>
      <w:tr w:rsidR="00103AEB" w:rsidRPr="00A1795E" w14:paraId="3A0E5ED6" w14:textId="77777777" w:rsidTr="00A5701A">
        <w:trPr>
          <w:cantSplit/>
          <w:trHeight w:val="254"/>
        </w:trPr>
        <w:tc>
          <w:tcPr>
            <w:tcW w:w="8647" w:type="dxa"/>
            <w:gridSpan w:val="6"/>
            <w:tcBorders>
              <w:top w:val="nil"/>
              <w:left w:val="nil"/>
              <w:bottom w:val="nil"/>
              <w:right w:val="nil"/>
            </w:tcBorders>
            <w:shd w:val="clear" w:color="auto" w:fill="FFFFFF"/>
            <w:vAlign w:val="center"/>
          </w:tcPr>
          <w:p w14:paraId="4E33F36C" w14:textId="26A14E2D" w:rsidR="00103AEB" w:rsidRPr="00A5701A" w:rsidRDefault="00103AEB" w:rsidP="00A5701A">
            <w:pPr>
              <w:ind w:firstLine="142"/>
              <w:jc w:val="center"/>
              <w:rPr>
                <w:rFonts w:ascii="Times New Roman" w:hAnsi="Times New Roman" w:cs="Times New Roman"/>
                <w:color w:val="000000"/>
                <w:sz w:val="20"/>
                <w:szCs w:val="20"/>
              </w:rPr>
            </w:pPr>
            <w:bookmarkStart w:id="6" w:name="_Hlk37088292"/>
            <w:r w:rsidRPr="00A5701A">
              <w:rPr>
                <w:rFonts w:ascii="Times New Roman" w:hAnsi="Times New Roman" w:cs="Times New Roman"/>
                <w:sz w:val="20"/>
                <w:szCs w:val="20"/>
              </w:rPr>
              <w:lastRenderedPageBreak/>
              <w:t xml:space="preserve">Tabela </w:t>
            </w:r>
            <w:r w:rsidR="004C2F84" w:rsidRPr="00A5701A">
              <w:rPr>
                <w:rFonts w:ascii="Times New Roman" w:hAnsi="Times New Roman" w:cs="Times New Roman"/>
                <w:sz w:val="20"/>
                <w:szCs w:val="20"/>
              </w:rPr>
              <w:t>6</w:t>
            </w:r>
            <w:r w:rsidRPr="00A5701A">
              <w:rPr>
                <w:rFonts w:ascii="Times New Roman" w:hAnsi="Times New Roman" w:cs="Times New Roman"/>
                <w:sz w:val="20"/>
                <w:szCs w:val="20"/>
              </w:rPr>
              <w:t xml:space="preserve"> – </w:t>
            </w:r>
            <w:r w:rsidRPr="00A5701A">
              <w:rPr>
                <w:rFonts w:ascii="Times New Roman" w:hAnsi="Times New Roman" w:cs="Times New Roman"/>
                <w:color w:val="000000"/>
                <w:sz w:val="20"/>
                <w:szCs w:val="20"/>
              </w:rPr>
              <w:t>Correlações</w:t>
            </w:r>
          </w:p>
        </w:tc>
      </w:tr>
      <w:tr w:rsidR="00103AEB" w:rsidRPr="00A1795E" w14:paraId="5B65926B" w14:textId="77777777" w:rsidTr="00A5701A">
        <w:trPr>
          <w:cantSplit/>
          <w:trHeight w:val="329"/>
        </w:trPr>
        <w:tc>
          <w:tcPr>
            <w:tcW w:w="3261" w:type="dxa"/>
            <w:gridSpan w:val="2"/>
            <w:tcBorders>
              <w:top w:val="single" w:sz="16" w:space="0" w:color="000000"/>
              <w:left w:val="single" w:sz="16" w:space="0" w:color="000000"/>
              <w:bottom w:val="single" w:sz="16" w:space="0" w:color="000000"/>
              <w:right w:val="nil"/>
            </w:tcBorders>
            <w:shd w:val="clear" w:color="auto" w:fill="FFFFFF"/>
            <w:vAlign w:val="bottom"/>
          </w:tcPr>
          <w:p w14:paraId="54590119" w14:textId="77777777" w:rsidR="00103AEB" w:rsidRPr="007C75C7" w:rsidRDefault="00103AEB" w:rsidP="00A5701A">
            <w:pPr>
              <w:autoSpaceDE w:val="0"/>
              <w:autoSpaceDN w:val="0"/>
              <w:adjustRightInd w:val="0"/>
              <w:spacing w:line="240" w:lineRule="auto"/>
              <w:rPr>
                <w:rFonts w:cs="Arial"/>
                <w:sz w:val="16"/>
                <w:szCs w:val="16"/>
              </w:rPr>
            </w:pPr>
          </w:p>
        </w:tc>
        <w:tc>
          <w:tcPr>
            <w:tcW w:w="1417" w:type="dxa"/>
            <w:tcBorders>
              <w:top w:val="single" w:sz="16" w:space="0" w:color="000000"/>
              <w:left w:val="single" w:sz="16" w:space="0" w:color="000000"/>
              <w:bottom w:val="single" w:sz="16" w:space="0" w:color="000000"/>
            </w:tcBorders>
            <w:shd w:val="clear" w:color="auto" w:fill="FFFFFF"/>
          </w:tcPr>
          <w:p w14:paraId="758BEF40" w14:textId="77777777" w:rsidR="00103AEB" w:rsidRPr="007C75C7" w:rsidRDefault="00103AEB" w:rsidP="00A5701A">
            <w:pPr>
              <w:autoSpaceDE w:val="0"/>
              <w:autoSpaceDN w:val="0"/>
              <w:adjustRightInd w:val="0"/>
              <w:spacing w:line="240" w:lineRule="auto"/>
              <w:ind w:left="60" w:right="60"/>
              <w:jc w:val="left"/>
              <w:rPr>
                <w:rFonts w:cs="Arial"/>
                <w:color w:val="000000"/>
                <w:sz w:val="16"/>
                <w:szCs w:val="16"/>
              </w:rPr>
            </w:pPr>
            <w:r w:rsidRPr="007C75C7">
              <w:rPr>
                <w:rFonts w:cs="Arial"/>
                <w:color w:val="000000"/>
                <w:sz w:val="16"/>
                <w:szCs w:val="16"/>
              </w:rPr>
              <w:t>RankQualiVida</w:t>
            </w:r>
          </w:p>
        </w:tc>
        <w:tc>
          <w:tcPr>
            <w:tcW w:w="1276" w:type="dxa"/>
            <w:tcBorders>
              <w:top w:val="single" w:sz="16" w:space="0" w:color="000000"/>
              <w:bottom w:val="single" w:sz="16" w:space="0" w:color="000000"/>
            </w:tcBorders>
            <w:shd w:val="clear" w:color="auto" w:fill="FFFFFF"/>
          </w:tcPr>
          <w:p w14:paraId="14665BEB" w14:textId="77777777" w:rsidR="00103AEB" w:rsidRPr="007C75C7" w:rsidRDefault="00103AEB" w:rsidP="00A5701A">
            <w:pPr>
              <w:autoSpaceDE w:val="0"/>
              <w:autoSpaceDN w:val="0"/>
              <w:adjustRightInd w:val="0"/>
              <w:spacing w:line="240" w:lineRule="auto"/>
              <w:ind w:left="60" w:right="60"/>
              <w:jc w:val="left"/>
              <w:rPr>
                <w:rFonts w:cs="Arial"/>
                <w:color w:val="000000"/>
                <w:sz w:val="16"/>
                <w:szCs w:val="16"/>
              </w:rPr>
            </w:pPr>
            <w:r w:rsidRPr="007C75C7">
              <w:rPr>
                <w:rFonts w:cs="Arial"/>
                <w:color w:val="000000"/>
                <w:sz w:val="16"/>
                <w:szCs w:val="16"/>
              </w:rPr>
              <w:t>Quality of Life Index</w:t>
            </w:r>
          </w:p>
        </w:tc>
        <w:tc>
          <w:tcPr>
            <w:tcW w:w="1276" w:type="dxa"/>
            <w:tcBorders>
              <w:top w:val="single" w:sz="16" w:space="0" w:color="000000"/>
              <w:bottom w:val="single" w:sz="16" w:space="0" w:color="000000"/>
            </w:tcBorders>
            <w:shd w:val="clear" w:color="auto" w:fill="FFFFFF"/>
          </w:tcPr>
          <w:p w14:paraId="35E10EFA" w14:textId="77777777" w:rsidR="00103AEB" w:rsidRPr="007C75C7" w:rsidRDefault="00103AEB" w:rsidP="00A5701A">
            <w:pPr>
              <w:autoSpaceDE w:val="0"/>
              <w:autoSpaceDN w:val="0"/>
              <w:adjustRightInd w:val="0"/>
              <w:spacing w:line="240" w:lineRule="auto"/>
              <w:ind w:left="60" w:right="60"/>
              <w:jc w:val="left"/>
              <w:rPr>
                <w:rFonts w:cs="Arial"/>
                <w:color w:val="000000"/>
                <w:sz w:val="16"/>
                <w:szCs w:val="16"/>
              </w:rPr>
            </w:pPr>
            <w:r w:rsidRPr="007C75C7">
              <w:rPr>
                <w:rFonts w:cs="Arial"/>
                <w:color w:val="000000"/>
                <w:sz w:val="16"/>
                <w:szCs w:val="16"/>
              </w:rPr>
              <w:t>NDemoRank</w:t>
            </w:r>
          </w:p>
        </w:tc>
        <w:tc>
          <w:tcPr>
            <w:tcW w:w="1417" w:type="dxa"/>
            <w:tcBorders>
              <w:top w:val="single" w:sz="16" w:space="0" w:color="000000"/>
              <w:bottom w:val="single" w:sz="16" w:space="0" w:color="000000"/>
              <w:right w:val="single" w:sz="16" w:space="0" w:color="000000"/>
            </w:tcBorders>
            <w:shd w:val="clear" w:color="auto" w:fill="FFFFFF"/>
          </w:tcPr>
          <w:p w14:paraId="16086709" w14:textId="77777777" w:rsidR="00103AEB" w:rsidRPr="007C75C7" w:rsidRDefault="00103AEB" w:rsidP="00A5701A">
            <w:pPr>
              <w:autoSpaceDE w:val="0"/>
              <w:autoSpaceDN w:val="0"/>
              <w:adjustRightInd w:val="0"/>
              <w:spacing w:line="240" w:lineRule="auto"/>
              <w:ind w:left="60" w:right="60"/>
              <w:jc w:val="left"/>
              <w:rPr>
                <w:rFonts w:cs="Arial"/>
                <w:color w:val="000000"/>
                <w:sz w:val="16"/>
                <w:szCs w:val="16"/>
              </w:rPr>
            </w:pPr>
            <w:r w:rsidRPr="007C75C7">
              <w:rPr>
                <w:rFonts w:cs="Arial"/>
                <w:color w:val="000000"/>
                <w:sz w:val="16"/>
                <w:szCs w:val="16"/>
              </w:rPr>
              <w:t>DensidadePop</w:t>
            </w:r>
          </w:p>
        </w:tc>
      </w:tr>
      <w:tr w:rsidR="00103AEB" w:rsidRPr="00A1795E" w14:paraId="018369B4" w14:textId="77777777" w:rsidTr="00A5701A">
        <w:trPr>
          <w:cantSplit/>
          <w:trHeight w:val="254"/>
        </w:trPr>
        <w:tc>
          <w:tcPr>
            <w:tcW w:w="1621" w:type="dxa"/>
            <w:vMerge w:val="restart"/>
            <w:tcBorders>
              <w:top w:val="single" w:sz="16" w:space="0" w:color="000000"/>
              <w:left w:val="single" w:sz="16" w:space="0" w:color="000000"/>
              <w:right w:val="nil"/>
            </w:tcBorders>
            <w:shd w:val="clear" w:color="auto" w:fill="FFFFFF"/>
          </w:tcPr>
          <w:p w14:paraId="62AEFE04"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RankQualiVida</w:t>
            </w:r>
          </w:p>
        </w:tc>
        <w:tc>
          <w:tcPr>
            <w:tcW w:w="1640" w:type="dxa"/>
            <w:tcBorders>
              <w:top w:val="single" w:sz="16" w:space="0" w:color="000000"/>
              <w:left w:val="nil"/>
              <w:bottom w:val="nil"/>
              <w:right w:val="single" w:sz="16" w:space="0" w:color="000000"/>
            </w:tcBorders>
            <w:shd w:val="clear" w:color="auto" w:fill="FFFFFF"/>
          </w:tcPr>
          <w:p w14:paraId="6E53D5EA"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Correlação de Pearson</w:t>
            </w:r>
          </w:p>
        </w:tc>
        <w:tc>
          <w:tcPr>
            <w:tcW w:w="1417" w:type="dxa"/>
            <w:tcBorders>
              <w:top w:val="single" w:sz="16" w:space="0" w:color="000000"/>
              <w:left w:val="single" w:sz="16" w:space="0" w:color="000000"/>
              <w:bottom w:val="nil"/>
            </w:tcBorders>
            <w:shd w:val="clear" w:color="auto" w:fill="FFFFFF"/>
            <w:vAlign w:val="center"/>
          </w:tcPr>
          <w:p w14:paraId="21425285"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w:t>
            </w:r>
          </w:p>
        </w:tc>
        <w:tc>
          <w:tcPr>
            <w:tcW w:w="1276" w:type="dxa"/>
            <w:tcBorders>
              <w:top w:val="single" w:sz="16" w:space="0" w:color="000000"/>
              <w:bottom w:val="nil"/>
            </w:tcBorders>
            <w:shd w:val="clear" w:color="auto" w:fill="FFFFFF"/>
            <w:vAlign w:val="center"/>
          </w:tcPr>
          <w:p w14:paraId="086469FF"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-,984</w:t>
            </w:r>
            <w:r w:rsidRPr="00A5701A">
              <w:rPr>
                <w:rFonts w:ascii="Times New Roman" w:hAnsi="Times New Roman" w:cs="Times New Roman"/>
                <w:color w:val="000000"/>
                <w:sz w:val="16"/>
                <w:szCs w:val="16"/>
                <w:vertAlign w:val="superscript"/>
              </w:rPr>
              <w:t>**</w:t>
            </w:r>
          </w:p>
        </w:tc>
        <w:tc>
          <w:tcPr>
            <w:tcW w:w="1276" w:type="dxa"/>
            <w:tcBorders>
              <w:top w:val="single" w:sz="16" w:space="0" w:color="000000"/>
              <w:bottom w:val="nil"/>
            </w:tcBorders>
            <w:shd w:val="clear" w:color="auto" w:fill="FFFFFF"/>
            <w:vAlign w:val="center"/>
          </w:tcPr>
          <w:p w14:paraId="0F431F86"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-,632</w:t>
            </w:r>
            <w:r w:rsidRPr="00A5701A">
              <w:rPr>
                <w:rFonts w:ascii="Times New Roman" w:hAnsi="Times New Roman" w:cs="Times New Roman"/>
                <w:color w:val="000000"/>
                <w:sz w:val="16"/>
                <w:szCs w:val="16"/>
                <w:vertAlign w:val="superscript"/>
              </w:rPr>
              <w:t>**</w:t>
            </w:r>
          </w:p>
        </w:tc>
        <w:tc>
          <w:tcPr>
            <w:tcW w:w="1417" w:type="dxa"/>
            <w:tcBorders>
              <w:top w:val="single" w:sz="16" w:space="0" w:color="000000"/>
              <w:bottom w:val="nil"/>
              <w:right w:val="single" w:sz="16" w:space="0" w:color="000000"/>
            </w:tcBorders>
            <w:shd w:val="clear" w:color="auto" w:fill="FFFFFF"/>
            <w:vAlign w:val="center"/>
          </w:tcPr>
          <w:p w14:paraId="1D1D20E3"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,492</w:t>
            </w:r>
            <w:r w:rsidRPr="00A5701A">
              <w:rPr>
                <w:rFonts w:ascii="Times New Roman" w:hAnsi="Times New Roman" w:cs="Times New Roman"/>
                <w:color w:val="000000"/>
                <w:sz w:val="16"/>
                <w:szCs w:val="16"/>
                <w:vertAlign w:val="superscript"/>
              </w:rPr>
              <w:t>**</w:t>
            </w:r>
          </w:p>
        </w:tc>
      </w:tr>
      <w:tr w:rsidR="00103AEB" w:rsidRPr="00A1795E" w14:paraId="4BF42531" w14:textId="77777777" w:rsidTr="00A5701A">
        <w:trPr>
          <w:cantSplit/>
          <w:trHeight w:val="290"/>
        </w:trPr>
        <w:tc>
          <w:tcPr>
            <w:tcW w:w="1621" w:type="dxa"/>
            <w:vMerge/>
            <w:tcBorders>
              <w:top w:val="single" w:sz="16" w:space="0" w:color="000000"/>
              <w:left w:val="single" w:sz="16" w:space="0" w:color="000000"/>
              <w:right w:val="nil"/>
            </w:tcBorders>
            <w:shd w:val="clear" w:color="auto" w:fill="FFFFFF"/>
          </w:tcPr>
          <w:p w14:paraId="297ACB93" w14:textId="77777777" w:rsidR="00103AEB" w:rsidRPr="00A5701A" w:rsidRDefault="00103AEB" w:rsidP="00A5701A">
            <w:pPr>
              <w:autoSpaceDE w:val="0"/>
              <w:autoSpaceDN w:val="0"/>
              <w:adjustRightInd w:val="0"/>
              <w:spacing w:line="240" w:lineRule="auto"/>
              <w:rPr>
                <w:rFonts w:ascii="Times New Roman" w:hAnsi="Times New Roman" w:cs="Times New Roman"/>
                <w:color w:val="000000"/>
                <w:sz w:val="16"/>
                <w:szCs w:val="16"/>
              </w:rPr>
            </w:pPr>
          </w:p>
        </w:tc>
        <w:tc>
          <w:tcPr>
            <w:tcW w:w="1640" w:type="dxa"/>
            <w:tcBorders>
              <w:top w:val="nil"/>
              <w:left w:val="nil"/>
              <w:bottom w:val="nil"/>
              <w:right w:val="single" w:sz="16" w:space="0" w:color="000000"/>
            </w:tcBorders>
            <w:shd w:val="clear" w:color="auto" w:fill="FFFFFF"/>
          </w:tcPr>
          <w:p w14:paraId="66E08E2F"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Sig. (2 extremidades)</w:t>
            </w:r>
          </w:p>
        </w:tc>
        <w:tc>
          <w:tcPr>
            <w:tcW w:w="1417" w:type="dxa"/>
            <w:tcBorders>
              <w:top w:val="nil"/>
              <w:left w:val="single" w:sz="16" w:space="0" w:color="000000"/>
              <w:bottom w:val="nil"/>
            </w:tcBorders>
            <w:shd w:val="clear" w:color="auto" w:fill="FFFFFF"/>
            <w:vAlign w:val="center"/>
          </w:tcPr>
          <w:p w14:paraId="4FBB86DD" w14:textId="77777777" w:rsidR="00103AEB" w:rsidRPr="00A5701A" w:rsidRDefault="00103AEB" w:rsidP="00A5701A">
            <w:pPr>
              <w:autoSpaceDE w:val="0"/>
              <w:autoSpaceDN w:val="0"/>
              <w:adjustRightInd w:val="0"/>
              <w:spacing w:line="240" w:lineRule="auto"/>
              <w:rPr>
                <w:rFonts w:ascii="Times New Roman" w:hAnsi="Times New Roman" w:cs="Times New Roman"/>
                <w:sz w:val="16"/>
                <w:szCs w:val="16"/>
              </w:rPr>
            </w:pPr>
          </w:p>
        </w:tc>
        <w:tc>
          <w:tcPr>
            <w:tcW w:w="1276" w:type="dxa"/>
            <w:tcBorders>
              <w:top w:val="nil"/>
              <w:bottom w:val="nil"/>
            </w:tcBorders>
            <w:shd w:val="clear" w:color="auto" w:fill="FFFFFF"/>
            <w:vAlign w:val="center"/>
          </w:tcPr>
          <w:p w14:paraId="6831B016"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c>
          <w:tcPr>
            <w:tcW w:w="1276" w:type="dxa"/>
            <w:tcBorders>
              <w:top w:val="nil"/>
              <w:bottom w:val="nil"/>
            </w:tcBorders>
            <w:shd w:val="clear" w:color="auto" w:fill="FFFFFF"/>
            <w:vAlign w:val="center"/>
          </w:tcPr>
          <w:p w14:paraId="553D3A18"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c>
          <w:tcPr>
            <w:tcW w:w="1417" w:type="dxa"/>
            <w:tcBorders>
              <w:top w:val="nil"/>
              <w:bottom w:val="nil"/>
              <w:right w:val="single" w:sz="16" w:space="0" w:color="000000"/>
            </w:tcBorders>
            <w:shd w:val="clear" w:color="auto" w:fill="FFFFFF"/>
            <w:vAlign w:val="center"/>
          </w:tcPr>
          <w:p w14:paraId="28EA9F75"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r>
      <w:tr w:rsidR="00103AEB" w:rsidRPr="00A1795E" w14:paraId="12919D3E" w14:textId="77777777" w:rsidTr="00A5701A">
        <w:trPr>
          <w:cantSplit/>
          <w:trHeight w:val="290"/>
        </w:trPr>
        <w:tc>
          <w:tcPr>
            <w:tcW w:w="1621" w:type="dxa"/>
            <w:vMerge/>
            <w:tcBorders>
              <w:top w:val="single" w:sz="16" w:space="0" w:color="000000"/>
              <w:left w:val="single" w:sz="16" w:space="0" w:color="000000"/>
              <w:right w:val="nil"/>
            </w:tcBorders>
            <w:shd w:val="clear" w:color="auto" w:fill="FFFFFF"/>
          </w:tcPr>
          <w:p w14:paraId="7043B2E6" w14:textId="77777777" w:rsidR="00103AEB" w:rsidRPr="00A5701A" w:rsidRDefault="00103AEB" w:rsidP="00A5701A">
            <w:pPr>
              <w:autoSpaceDE w:val="0"/>
              <w:autoSpaceDN w:val="0"/>
              <w:adjustRightInd w:val="0"/>
              <w:spacing w:line="240" w:lineRule="auto"/>
              <w:rPr>
                <w:rFonts w:ascii="Times New Roman" w:hAnsi="Times New Roman" w:cs="Times New Roman"/>
                <w:color w:val="000000"/>
                <w:sz w:val="16"/>
                <w:szCs w:val="16"/>
              </w:rPr>
            </w:pPr>
          </w:p>
        </w:tc>
        <w:tc>
          <w:tcPr>
            <w:tcW w:w="1640" w:type="dxa"/>
            <w:tcBorders>
              <w:top w:val="nil"/>
              <w:left w:val="nil"/>
              <w:right w:val="single" w:sz="16" w:space="0" w:color="000000"/>
            </w:tcBorders>
            <w:shd w:val="clear" w:color="auto" w:fill="FFFFFF"/>
          </w:tcPr>
          <w:p w14:paraId="7033032F"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N</w:t>
            </w:r>
          </w:p>
        </w:tc>
        <w:tc>
          <w:tcPr>
            <w:tcW w:w="1417" w:type="dxa"/>
            <w:tcBorders>
              <w:top w:val="nil"/>
              <w:left w:val="single" w:sz="16" w:space="0" w:color="000000"/>
            </w:tcBorders>
            <w:shd w:val="clear" w:color="auto" w:fill="FFFFFF"/>
            <w:vAlign w:val="center"/>
          </w:tcPr>
          <w:p w14:paraId="700E15FC"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183</w:t>
            </w:r>
          </w:p>
        </w:tc>
        <w:tc>
          <w:tcPr>
            <w:tcW w:w="1276" w:type="dxa"/>
            <w:tcBorders>
              <w:top w:val="nil"/>
            </w:tcBorders>
            <w:shd w:val="clear" w:color="auto" w:fill="FFFFFF"/>
            <w:vAlign w:val="center"/>
          </w:tcPr>
          <w:p w14:paraId="676E64BF"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183</w:t>
            </w:r>
          </w:p>
        </w:tc>
        <w:tc>
          <w:tcPr>
            <w:tcW w:w="1276" w:type="dxa"/>
            <w:tcBorders>
              <w:top w:val="nil"/>
            </w:tcBorders>
            <w:shd w:val="clear" w:color="auto" w:fill="FFFFFF"/>
            <w:vAlign w:val="center"/>
          </w:tcPr>
          <w:p w14:paraId="111BEB80"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160</w:t>
            </w:r>
          </w:p>
        </w:tc>
        <w:tc>
          <w:tcPr>
            <w:tcW w:w="1417" w:type="dxa"/>
            <w:tcBorders>
              <w:top w:val="nil"/>
              <w:right w:val="single" w:sz="16" w:space="0" w:color="000000"/>
            </w:tcBorders>
            <w:shd w:val="clear" w:color="auto" w:fill="FFFFFF"/>
            <w:vAlign w:val="center"/>
          </w:tcPr>
          <w:p w14:paraId="7726477E"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174</w:t>
            </w:r>
          </w:p>
        </w:tc>
      </w:tr>
      <w:tr w:rsidR="00103AEB" w:rsidRPr="00A1795E" w14:paraId="46C9BA6B" w14:textId="77777777" w:rsidTr="00A5701A">
        <w:trPr>
          <w:cantSplit/>
          <w:trHeight w:val="254"/>
        </w:trPr>
        <w:tc>
          <w:tcPr>
            <w:tcW w:w="1621" w:type="dxa"/>
            <w:vMerge w:val="restart"/>
            <w:tcBorders>
              <w:top w:val="nil"/>
              <w:left w:val="single" w:sz="16" w:space="0" w:color="000000"/>
              <w:right w:val="nil"/>
            </w:tcBorders>
            <w:shd w:val="clear" w:color="auto" w:fill="FFFFFF"/>
          </w:tcPr>
          <w:p w14:paraId="774A1FB9"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Quality of Life Index</w:t>
            </w:r>
          </w:p>
        </w:tc>
        <w:tc>
          <w:tcPr>
            <w:tcW w:w="1640" w:type="dxa"/>
            <w:tcBorders>
              <w:top w:val="nil"/>
              <w:left w:val="nil"/>
              <w:bottom w:val="nil"/>
              <w:right w:val="single" w:sz="16" w:space="0" w:color="000000"/>
            </w:tcBorders>
            <w:shd w:val="clear" w:color="auto" w:fill="FFFFFF"/>
          </w:tcPr>
          <w:p w14:paraId="71AFF1FE"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Correlação de Pearson</w:t>
            </w:r>
          </w:p>
        </w:tc>
        <w:tc>
          <w:tcPr>
            <w:tcW w:w="1417" w:type="dxa"/>
            <w:tcBorders>
              <w:top w:val="nil"/>
              <w:left w:val="single" w:sz="16" w:space="0" w:color="000000"/>
              <w:bottom w:val="nil"/>
            </w:tcBorders>
            <w:shd w:val="clear" w:color="auto" w:fill="FFFFFF"/>
            <w:vAlign w:val="center"/>
          </w:tcPr>
          <w:p w14:paraId="05E38BCC"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-,984</w:t>
            </w:r>
            <w:r w:rsidRPr="00A5701A">
              <w:rPr>
                <w:rFonts w:ascii="Times New Roman" w:hAnsi="Times New Roman" w:cs="Times New Roman"/>
                <w:color w:val="000000"/>
                <w:sz w:val="16"/>
                <w:szCs w:val="16"/>
                <w:vertAlign w:val="superscript"/>
              </w:rPr>
              <w:t>**</w:t>
            </w:r>
          </w:p>
        </w:tc>
        <w:tc>
          <w:tcPr>
            <w:tcW w:w="1276" w:type="dxa"/>
            <w:tcBorders>
              <w:top w:val="nil"/>
              <w:bottom w:val="nil"/>
            </w:tcBorders>
            <w:shd w:val="clear" w:color="auto" w:fill="FFFFFF"/>
            <w:vAlign w:val="center"/>
          </w:tcPr>
          <w:p w14:paraId="0576C198"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w:t>
            </w:r>
          </w:p>
        </w:tc>
        <w:tc>
          <w:tcPr>
            <w:tcW w:w="1276" w:type="dxa"/>
            <w:tcBorders>
              <w:top w:val="nil"/>
              <w:bottom w:val="nil"/>
            </w:tcBorders>
            <w:shd w:val="clear" w:color="auto" w:fill="FFFFFF"/>
            <w:vAlign w:val="center"/>
          </w:tcPr>
          <w:p w14:paraId="37ED8556"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,639</w:t>
            </w:r>
            <w:r w:rsidRPr="00A5701A">
              <w:rPr>
                <w:rFonts w:ascii="Times New Roman" w:hAnsi="Times New Roman" w:cs="Times New Roman"/>
                <w:color w:val="000000"/>
                <w:sz w:val="16"/>
                <w:szCs w:val="16"/>
                <w:vertAlign w:val="superscript"/>
              </w:rPr>
              <w:t>**</w:t>
            </w:r>
          </w:p>
        </w:tc>
        <w:tc>
          <w:tcPr>
            <w:tcW w:w="1417" w:type="dxa"/>
            <w:tcBorders>
              <w:top w:val="nil"/>
              <w:bottom w:val="nil"/>
              <w:right w:val="single" w:sz="16" w:space="0" w:color="000000"/>
            </w:tcBorders>
            <w:shd w:val="clear" w:color="auto" w:fill="FFFF00"/>
            <w:vAlign w:val="center"/>
          </w:tcPr>
          <w:p w14:paraId="2E211906"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-,511</w:t>
            </w:r>
            <w:r w:rsidRPr="00A5701A">
              <w:rPr>
                <w:rFonts w:ascii="Times New Roman" w:hAnsi="Times New Roman" w:cs="Times New Roman"/>
                <w:color w:val="000000"/>
                <w:sz w:val="16"/>
                <w:szCs w:val="16"/>
                <w:vertAlign w:val="superscript"/>
              </w:rPr>
              <w:t>**</w:t>
            </w:r>
          </w:p>
        </w:tc>
      </w:tr>
      <w:tr w:rsidR="00103AEB" w:rsidRPr="00A1795E" w14:paraId="29FE661E" w14:textId="77777777" w:rsidTr="00A5701A">
        <w:trPr>
          <w:cantSplit/>
          <w:trHeight w:val="278"/>
        </w:trPr>
        <w:tc>
          <w:tcPr>
            <w:tcW w:w="1621" w:type="dxa"/>
            <w:vMerge/>
            <w:tcBorders>
              <w:top w:val="nil"/>
              <w:left w:val="single" w:sz="16" w:space="0" w:color="000000"/>
              <w:right w:val="nil"/>
            </w:tcBorders>
            <w:shd w:val="clear" w:color="auto" w:fill="FFFFFF"/>
          </w:tcPr>
          <w:p w14:paraId="44018066" w14:textId="77777777" w:rsidR="00103AEB" w:rsidRPr="00A5701A" w:rsidRDefault="00103AEB" w:rsidP="00A5701A">
            <w:pPr>
              <w:autoSpaceDE w:val="0"/>
              <w:autoSpaceDN w:val="0"/>
              <w:adjustRightInd w:val="0"/>
              <w:spacing w:line="240" w:lineRule="auto"/>
              <w:rPr>
                <w:rFonts w:ascii="Times New Roman" w:hAnsi="Times New Roman" w:cs="Times New Roman"/>
                <w:color w:val="000000"/>
                <w:sz w:val="16"/>
                <w:szCs w:val="16"/>
              </w:rPr>
            </w:pPr>
          </w:p>
        </w:tc>
        <w:tc>
          <w:tcPr>
            <w:tcW w:w="1640" w:type="dxa"/>
            <w:tcBorders>
              <w:top w:val="nil"/>
              <w:left w:val="nil"/>
              <w:bottom w:val="nil"/>
              <w:right w:val="single" w:sz="16" w:space="0" w:color="000000"/>
            </w:tcBorders>
            <w:shd w:val="clear" w:color="auto" w:fill="FFFFFF"/>
          </w:tcPr>
          <w:p w14:paraId="08A7A79E"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Sig. (2 extremidades)</w:t>
            </w:r>
          </w:p>
        </w:tc>
        <w:tc>
          <w:tcPr>
            <w:tcW w:w="1417" w:type="dxa"/>
            <w:tcBorders>
              <w:top w:val="nil"/>
              <w:left w:val="single" w:sz="16" w:space="0" w:color="000000"/>
              <w:bottom w:val="nil"/>
            </w:tcBorders>
            <w:shd w:val="clear" w:color="auto" w:fill="FFFFFF"/>
            <w:vAlign w:val="center"/>
          </w:tcPr>
          <w:p w14:paraId="22D614B8"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c>
          <w:tcPr>
            <w:tcW w:w="1276" w:type="dxa"/>
            <w:tcBorders>
              <w:top w:val="nil"/>
              <w:bottom w:val="nil"/>
            </w:tcBorders>
            <w:shd w:val="clear" w:color="auto" w:fill="FFFFFF"/>
            <w:vAlign w:val="center"/>
          </w:tcPr>
          <w:p w14:paraId="09E592CA" w14:textId="77777777" w:rsidR="00103AEB" w:rsidRPr="00A5701A" w:rsidRDefault="00103AEB" w:rsidP="00A5701A">
            <w:pPr>
              <w:autoSpaceDE w:val="0"/>
              <w:autoSpaceDN w:val="0"/>
              <w:adjustRightInd w:val="0"/>
              <w:spacing w:line="240" w:lineRule="auto"/>
              <w:rPr>
                <w:rFonts w:ascii="Times New Roman" w:hAnsi="Times New Roman" w:cs="Times New Roman"/>
                <w:sz w:val="16"/>
                <w:szCs w:val="16"/>
              </w:rPr>
            </w:pPr>
          </w:p>
        </w:tc>
        <w:tc>
          <w:tcPr>
            <w:tcW w:w="1276" w:type="dxa"/>
            <w:tcBorders>
              <w:top w:val="nil"/>
              <w:bottom w:val="nil"/>
            </w:tcBorders>
            <w:shd w:val="clear" w:color="auto" w:fill="FFFFFF"/>
            <w:vAlign w:val="center"/>
          </w:tcPr>
          <w:p w14:paraId="473D0ED9"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c>
          <w:tcPr>
            <w:tcW w:w="1417" w:type="dxa"/>
            <w:tcBorders>
              <w:top w:val="nil"/>
              <w:bottom w:val="nil"/>
              <w:right w:val="single" w:sz="16" w:space="0" w:color="000000"/>
            </w:tcBorders>
            <w:shd w:val="clear" w:color="auto" w:fill="FFFFFF"/>
            <w:vAlign w:val="center"/>
          </w:tcPr>
          <w:p w14:paraId="0C6F6EE8"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r>
      <w:tr w:rsidR="00103AEB" w:rsidRPr="00A1795E" w14:paraId="5A6F2629" w14:textId="77777777" w:rsidTr="00A5701A">
        <w:trPr>
          <w:cantSplit/>
          <w:trHeight w:val="278"/>
        </w:trPr>
        <w:tc>
          <w:tcPr>
            <w:tcW w:w="1621" w:type="dxa"/>
            <w:vMerge/>
            <w:tcBorders>
              <w:top w:val="nil"/>
              <w:left w:val="single" w:sz="16" w:space="0" w:color="000000"/>
              <w:right w:val="nil"/>
            </w:tcBorders>
            <w:shd w:val="clear" w:color="auto" w:fill="FFFFFF"/>
          </w:tcPr>
          <w:p w14:paraId="1FA04A58" w14:textId="77777777" w:rsidR="00103AEB" w:rsidRPr="00A5701A" w:rsidRDefault="00103AEB" w:rsidP="00A5701A">
            <w:pPr>
              <w:autoSpaceDE w:val="0"/>
              <w:autoSpaceDN w:val="0"/>
              <w:adjustRightInd w:val="0"/>
              <w:spacing w:line="240" w:lineRule="auto"/>
              <w:rPr>
                <w:rFonts w:ascii="Times New Roman" w:hAnsi="Times New Roman" w:cs="Times New Roman"/>
                <w:color w:val="000000"/>
                <w:sz w:val="16"/>
                <w:szCs w:val="16"/>
              </w:rPr>
            </w:pPr>
          </w:p>
        </w:tc>
        <w:tc>
          <w:tcPr>
            <w:tcW w:w="1640" w:type="dxa"/>
            <w:tcBorders>
              <w:top w:val="nil"/>
              <w:left w:val="nil"/>
              <w:right w:val="single" w:sz="16" w:space="0" w:color="000000"/>
            </w:tcBorders>
            <w:shd w:val="clear" w:color="auto" w:fill="FFFFFF"/>
          </w:tcPr>
          <w:p w14:paraId="6350C358"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N</w:t>
            </w:r>
          </w:p>
        </w:tc>
        <w:tc>
          <w:tcPr>
            <w:tcW w:w="1417" w:type="dxa"/>
            <w:tcBorders>
              <w:top w:val="nil"/>
              <w:left w:val="single" w:sz="16" w:space="0" w:color="000000"/>
            </w:tcBorders>
            <w:shd w:val="clear" w:color="auto" w:fill="FFFFFF"/>
            <w:vAlign w:val="center"/>
          </w:tcPr>
          <w:p w14:paraId="2C62FBB5"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183</w:t>
            </w:r>
          </w:p>
        </w:tc>
        <w:tc>
          <w:tcPr>
            <w:tcW w:w="1276" w:type="dxa"/>
            <w:tcBorders>
              <w:top w:val="nil"/>
            </w:tcBorders>
            <w:shd w:val="clear" w:color="auto" w:fill="FFFFFF"/>
            <w:vAlign w:val="center"/>
          </w:tcPr>
          <w:p w14:paraId="6C5F2871"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183</w:t>
            </w:r>
          </w:p>
        </w:tc>
        <w:tc>
          <w:tcPr>
            <w:tcW w:w="1276" w:type="dxa"/>
            <w:tcBorders>
              <w:top w:val="nil"/>
            </w:tcBorders>
            <w:shd w:val="clear" w:color="auto" w:fill="FFFFFF"/>
            <w:vAlign w:val="center"/>
          </w:tcPr>
          <w:p w14:paraId="199F6127"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160</w:t>
            </w:r>
          </w:p>
        </w:tc>
        <w:tc>
          <w:tcPr>
            <w:tcW w:w="1417" w:type="dxa"/>
            <w:tcBorders>
              <w:top w:val="nil"/>
              <w:right w:val="single" w:sz="16" w:space="0" w:color="000000"/>
            </w:tcBorders>
            <w:shd w:val="clear" w:color="auto" w:fill="FFFFFF"/>
            <w:vAlign w:val="center"/>
          </w:tcPr>
          <w:p w14:paraId="125ED070"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174</w:t>
            </w:r>
          </w:p>
        </w:tc>
      </w:tr>
      <w:tr w:rsidR="00103AEB" w:rsidRPr="00A1795E" w14:paraId="170C872C" w14:textId="77777777" w:rsidTr="00A5701A">
        <w:trPr>
          <w:cantSplit/>
          <w:trHeight w:val="254"/>
        </w:trPr>
        <w:tc>
          <w:tcPr>
            <w:tcW w:w="1621" w:type="dxa"/>
            <w:vMerge w:val="restart"/>
            <w:tcBorders>
              <w:top w:val="nil"/>
              <w:left w:val="single" w:sz="16" w:space="0" w:color="000000"/>
              <w:right w:val="nil"/>
            </w:tcBorders>
            <w:shd w:val="clear" w:color="auto" w:fill="FFFFFF"/>
          </w:tcPr>
          <w:p w14:paraId="7517EC0D"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NDemoRank</w:t>
            </w:r>
          </w:p>
        </w:tc>
        <w:tc>
          <w:tcPr>
            <w:tcW w:w="1640" w:type="dxa"/>
            <w:tcBorders>
              <w:top w:val="nil"/>
              <w:left w:val="nil"/>
              <w:bottom w:val="nil"/>
              <w:right w:val="single" w:sz="16" w:space="0" w:color="000000"/>
            </w:tcBorders>
            <w:shd w:val="clear" w:color="auto" w:fill="FFFFFF"/>
          </w:tcPr>
          <w:p w14:paraId="31C7A3E9"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Correlação de Pearson</w:t>
            </w:r>
          </w:p>
        </w:tc>
        <w:tc>
          <w:tcPr>
            <w:tcW w:w="1417" w:type="dxa"/>
            <w:tcBorders>
              <w:top w:val="nil"/>
              <w:left w:val="single" w:sz="16" w:space="0" w:color="000000"/>
              <w:bottom w:val="nil"/>
            </w:tcBorders>
            <w:shd w:val="clear" w:color="auto" w:fill="FFFFFF"/>
            <w:vAlign w:val="center"/>
          </w:tcPr>
          <w:p w14:paraId="52E7FEC8"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-,632</w:t>
            </w:r>
            <w:r w:rsidRPr="00A5701A">
              <w:rPr>
                <w:rFonts w:ascii="Times New Roman" w:hAnsi="Times New Roman" w:cs="Times New Roman"/>
                <w:color w:val="000000"/>
                <w:sz w:val="16"/>
                <w:szCs w:val="16"/>
                <w:vertAlign w:val="superscript"/>
              </w:rPr>
              <w:t>**</w:t>
            </w:r>
          </w:p>
        </w:tc>
        <w:tc>
          <w:tcPr>
            <w:tcW w:w="1276" w:type="dxa"/>
            <w:tcBorders>
              <w:top w:val="nil"/>
              <w:bottom w:val="nil"/>
            </w:tcBorders>
            <w:shd w:val="clear" w:color="auto" w:fill="FFFFFF"/>
            <w:vAlign w:val="center"/>
          </w:tcPr>
          <w:p w14:paraId="29261008"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,639</w:t>
            </w:r>
            <w:r w:rsidRPr="00A5701A">
              <w:rPr>
                <w:rFonts w:ascii="Times New Roman" w:hAnsi="Times New Roman" w:cs="Times New Roman"/>
                <w:color w:val="000000"/>
                <w:sz w:val="16"/>
                <w:szCs w:val="16"/>
                <w:vertAlign w:val="superscript"/>
              </w:rPr>
              <w:t>**</w:t>
            </w:r>
          </w:p>
        </w:tc>
        <w:tc>
          <w:tcPr>
            <w:tcW w:w="1276" w:type="dxa"/>
            <w:tcBorders>
              <w:top w:val="nil"/>
              <w:bottom w:val="nil"/>
            </w:tcBorders>
            <w:shd w:val="clear" w:color="auto" w:fill="FFFFFF"/>
            <w:vAlign w:val="center"/>
          </w:tcPr>
          <w:p w14:paraId="3441C06C"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w:t>
            </w:r>
          </w:p>
        </w:tc>
        <w:tc>
          <w:tcPr>
            <w:tcW w:w="1417" w:type="dxa"/>
            <w:tcBorders>
              <w:top w:val="nil"/>
              <w:bottom w:val="nil"/>
              <w:right w:val="single" w:sz="16" w:space="0" w:color="000000"/>
            </w:tcBorders>
            <w:shd w:val="clear" w:color="auto" w:fill="FFFFFF"/>
            <w:vAlign w:val="center"/>
          </w:tcPr>
          <w:p w14:paraId="597FCDF1"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-,786</w:t>
            </w:r>
            <w:r w:rsidRPr="00A5701A">
              <w:rPr>
                <w:rFonts w:ascii="Times New Roman" w:hAnsi="Times New Roman" w:cs="Times New Roman"/>
                <w:color w:val="000000"/>
                <w:sz w:val="16"/>
                <w:szCs w:val="16"/>
                <w:vertAlign w:val="superscript"/>
              </w:rPr>
              <w:t>**</w:t>
            </w:r>
          </w:p>
        </w:tc>
      </w:tr>
      <w:tr w:rsidR="00103AEB" w:rsidRPr="00A1795E" w14:paraId="6D4759F9" w14:textId="77777777" w:rsidTr="00A5701A">
        <w:trPr>
          <w:cantSplit/>
          <w:trHeight w:val="278"/>
        </w:trPr>
        <w:tc>
          <w:tcPr>
            <w:tcW w:w="1621" w:type="dxa"/>
            <w:vMerge/>
            <w:tcBorders>
              <w:top w:val="nil"/>
              <w:left w:val="single" w:sz="16" w:space="0" w:color="000000"/>
              <w:right w:val="nil"/>
            </w:tcBorders>
            <w:shd w:val="clear" w:color="auto" w:fill="FFFFFF"/>
          </w:tcPr>
          <w:p w14:paraId="56AA56AF" w14:textId="77777777" w:rsidR="00103AEB" w:rsidRPr="00A5701A" w:rsidRDefault="00103AEB" w:rsidP="00A5701A">
            <w:pPr>
              <w:autoSpaceDE w:val="0"/>
              <w:autoSpaceDN w:val="0"/>
              <w:adjustRightInd w:val="0"/>
              <w:spacing w:line="240" w:lineRule="auto"/>
              <w:rPr>
                <w:rFonts w:ascii="Times New Roman" w:hAnsi="Times New Roman" w:cs="Times New Roman"/>
                <w:color w:val="000000"/>
                <w:sz w:val="16"/>
                <w:szCs w:val="16"/>
              </w:rPr>
            </w:pPr>
          </w:p>
        </w:tc>
        <w:tc>
          <w:tcPr>
            <w:tcW w:w="1640" w:type="dxa"/>
            <w:tcBorders>
              <w:top w:val="nil"/>
              <w:left w:val="nil"/>
              <w:bottom w:val="nil"/>
              <w:right w:val="single" w:sz="16" w:space="0" w:color="000000"/>
            </w:tcBorders>
            <w:shd w:val="clear" w:color="auto" w:fill="FFFFFF"/>
          </w:tcPr>
          <w:p w14:paraId="5FCC5E26"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Sig. (2 extremidades)</w:t>
            </w:r>
          </w:p>
        </w:tc>
        <w:tc>
          <w:tcPr>
            <w:tcW w:w="1417" w:type="dxa"/>
            <w:tcBorders>
              <w:top w:val="nil"/>
              <w:left w:val="single" w:sz="16" w:space="0" w:color="000000"/>
              <w:bottom w:val="nil"/>
            </w:tcBorders>
            <w:shd w:val="clear" w:color="auto" w:fill="FFFFFF"/>
            <w:vAlign w:val="center"/>
          </w:tcPr>
          <w:p w14:paraId="3E44CB32"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c>
          <w:tcPr>
            <w:tcW w:w="1276" w:type="dxa"/>
            <w:tcBorders>
              <w:top w:val="nil"/>
              <w:bottom w:val="nil"/>
            </w:tcBorders>
            <w:shd w:val="clear" w:color="auto" w:fill="FFFFFF"/>
            <w:vAlign w:val="center"/>
          </w:tcPr>
          <w:p w14:paraId="70340C83"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c>
          <w:tcPr>
            <w:tcW w:w="1276" w:type="dxa"/>
            <w:tcBorders>
              <w:top w:val="nil"/>
              <w:bottom w:val="nil"/>
            </w:tcBorders>
            <w:shd w:val="clear" w:color="auto" w:fill="FFFFFF"/>
            <w:vAlign w:val="center"/>
          </w:tcPr>
          <w:p w14:paraId="17D0E525" w14:textId="77777777" w:rsidR="00103AEB" w:rsidRPr="00A5701A" w:rsidRDefault="00103AEB" w:rsidP="00A5701A">
            <w:pPr>
              <w:autoSpaceDE w:val="0"/>
              <w:autoSpaceDN w:val="0"/>
              <w:adjustRightInd w:val="0"/>
              <w:spacing w:line="240" w:lineRule="auto"/>
              <w:rPr>
                <w:rFonts w:ascii="Times New Roman" w:hAnsi="Times New Roman" w:cs="Times New Roman"/>
                <w:sz w:val="16"/>
                <w:szCs w:val="16"/>
              </w:rPr>
            </w:pPr>
          </w:p>
        </w:tc>
        <w:tc>
          <w:tcPr>
            <w:tcW w:w="1417" w:type="dxa"/>
            <w:tcBorders>
              <w:top w:val="nil"/>
              <w:bottom w:val="nil"/>
              <w:right w:val="single" w:sz="16" w:space="0" w:color="000000"/>
            </w:tcBorders>
            <w:shd w:val="clear" w:color="auto" w:fill="FFFFFF"/>
            <w:vAlign w:val="center"/>
          </w:tcPr>
          <w:p w14:paraId="43F3711E"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r>
      <w:tr w:rsidR="00103AEB" w:rsidRPr="00A1795E" w14:paraId="2AC078C8" w14:textId="77777777" w:rsidTr="00A5701A">
        <w:trPr>
          <w:cantSplit/>
          <w:trHeight w:val="278"/>
        </w:trPr>
        <w:tc>
          <w:tcPr>
            <w:tcW w:w="1621" w:type="dxa"/>
            <w:vMerge/>
            <w:tcBorders>
              <w:top w:val="nil"/>
              <w:left w:val="single" w:sz="16" w:space="0" w:color="000000"/>
              <w:right w:val="nil"/>
            </w:tcBorders>
            <w:shd w:val="clear" w:color="auto" w:fill="FFFFFF"/>
          </w:tcPr>
          <w:p w14:paraId="655389A2" w14:textId="77777777" w:rsidR="00103AEB" w:rsidRPr="00A5701A" w:rsidRDefault="00103AEB" w:rsidP="00A5701A">
            <w:pPr>
              <w:autoSpaceDE w:val="0"/>
              <w:autoSpaceDN w:val="0"/>
              <w:adjustRightInd w:val="0"/>
              <w:spacing w:line="240" w:lineRule="auto"/>
              <w:rPr>
                <w:rFonts w:ascii="Times New Roman" w:hAnsi="Times New Roman" w:cs="Times New Roman"/>
                <w:color w:val="000000"/>
                <w:sz w:val="16"/>
                <w:szCs w:val="16"/>
              </w:rPr>
            </w:pPr>
          </w:p>
        </w:tc>
        <w:tc>
          <w:tcPr>
            <w:tcW w:w="1640" w:type="dxa"/>
            <w:tcBorders>
              <w:top w:val="nil"/>
              <w:left w:val="nil"/>
              <w:right w:val="single" w:sz="16" w:space="0" w:color="000000"/>
            </w:tcBorders>
            <w:shd w:val="clear" w:color="auto" w:fill="FFFFFF"/>
          </w:tcPr>
          <w:p w14:paraId="50D40682"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N</w:t>
            </w:r>
          </w:p>
        </w:tc>
        <w:tc>
          <w:tcPr>
            <w:tcW w:w="1417" w:type="dxa"/>
            <w:tcBorders>
              <w:top w:val="nil"/>
              <w:left w:val="single" w:sz="16" w:space="0" w:color="000000"/>
            </w:tcBorders>
            <w:shd w:val="clear" w:color="auto" w:fill="FFFFFF"/>
            <w:vAlign w:val="center"/>
          </w:tcPr>
          <w:p w14:paraId="710A9053"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160</w:t>
            </w:r>
          </w:p>
        </w:tc>
        <w:tc>
          <w:tcPr>
            <w:tcW w:w="1276" w:type="dxa"/>
            <w:tcBorders>
              <w:top w:val="nil"/>
            </w:tcBorders>
            <w:shd w:val="clear" w:color="auto" w:fill="FFFFFF"/>
            <w:vAlign w:val="center"/>
          </w:tcPr>
          <w:p w14:paraId="3D4FBDF5"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160</w:t>
            </w:r>
          </w:p>
        </w:tc>
        <w:tc>
          <w:tcPr>
            <w:tcW w:w="1276" w:type="dxa"/>
            <w:tcBorders>
              <w:top w:val="nil"/>
            </w:tcBorders>
            <w:shd w:val="clear" w:color="auto" w:fill="FFFFFF"/>
            <w:vAlign w:val="center"/>
          </w:tcPr>
          <w:p w14:paraId="373738F2"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160</w:t>
            </w:r>
          </w:p>
        </w:tc>
        <w:tc>
          <w:tcPr>
            <w:tcW w:w="1417" w:type="dxa"/>
            <w:tcBorders>
              <w:top w:val="nil"/>
              <w:right w:val="single" w:sz="16" w:space="0" w:color="000000"/>
            </w:tcBorders>
            <w:shd w:val="clear" w:color="auto" w:fill="FFFFFF"/>
            <w:vAlign w:val="center"/>
          </w:tcPr>
          <w:p w14:paraId="5C9066B1"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160</w:t>
            </w:r>
          </w:p>
        </w:tc>
      </w:tr>
      <w:tr w:rsidR="00103AEB" w:rsidRPr="00A1795E" w14:paraId="36683D84" w14:textId="77777777" w:rsidTr="00A5701A">
        <w:trPr>
          <w:cantSplit/>
          <w:trHeight w:val="254"/>
        </w:trPr>
        <w:tc>
          <w:tcPr>
            <w:tcW w:w="1621" w:type="dxa"/>
            <w:vMerge w:val="restart"/>
            <w:tcBorders>
              <w:top w:val="nil"/>
              <w:left w:val="single" w:sz="16" w:space="0" w:color="000000"/>
              <w:bottom w:val="single" w:sz="16" w:space="0" w:color="000000"/>
              <w:right w:val="nil"/>
            </w:tcBorders>
            <w:shd w:val="clear" w:color="auto" w:fill="FFFFFF"/>
          </w:tcPr>
          <w:p w14:paraId="34E65A63"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DensidadePop</w:t>
            </w:r>
          </w:p>
        </w:tc>
        <w:tc>
          <w:tcPr>
            <w:tcW w:w="1640" w:type="dxa"/>
            <w:tcBorders>
              <w:top w:val="nil"/>
              <w:left w:val="nil"/>
              <w:right w:val="single" w:sz="16" w:space="0" w:color="000000"/>
            </w:tcBorders>
            <w:shd w:val="clear" w:color="auto" w:fill="FFFFFF"/>
          </w:tcPr>
          <w:p w14:paraId="0426579E"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Correlação de Pearson</w:t>
            </w:r>
          </w:p>
        </w:tc>
        <w:tc>
          <w:tcPr>
            <w:tcW w:w="1417" w:type="dxa"/>
            <w:tcBorders>
              <w:top w:val="nil"/>
              <w:left w:val="single" w:sz="16" w:space="0" w:color="000000"/>
            </w:tcBorders>
            <w:shd w:val="clear" w:color="auto" w:fill="FFFFFF"/>
            <w:vAlign w:val="center"/>
          </w:tcPr>
          <w:p w14:paraId="4DFBFF18"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,492</w:t>
            </w:r>
            <w:r w:rsidRPr="00A5701A">
              <w:rPr>
                <w:rFonts w:ascii="Times New Roman" w:hAnsi="Times New Roman" w:cs="Times New Roman"/>
                <w:color w:val="000000"/>
                <w:sz w:val="16"/>
                <w:szCs w:val="16"/>
                <w:vertAlign w:val="superscript"/>
              </w:rPr>
              <w:t>**</w:t>
            </w:r>
          </w:p>
        </w:tc>
        <w:tc>
          <w:tcPr>
            <w:tcW w:w="1276" w:type="dxa"/>
            <w:tcBorders>
              <w:top w:val="nil"/>
            </w:tcBorders>
            <w:shd w:val="clear" w:color="auto" w:fill="FFFF00"/>
            <w:vAlign w:val="center"/>
          </w:tcPr>
          <w:p w14:paraId="57762C7C"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-,511</w:t>
            </w:r>
            <w:r w:rsidRPr="00A5701A">
              <w:rPr>
                <w:rFonts w:ascii="Times New Roman" w:hAnsi="Times New Roman" w:cs="Times New Roman"/>
                <w:color w:val="000000"/>
                <w:sz w:val="16"/>
                <w:szCs w:val="16"/>
                <w:vertAlign w:val="superscript"/>
              </w:rPr>
              <w:t>**</w:t>
            </w:r>
          </w:p>
        </w:tc>
        <w:tc>
          <w:tcPr>
            <w:tcW w:w="1276" w:type="dxa"/>
            <w:tcBorders>
              <w:top w:val="nil"/>
            </w:tcBorders>
            <w:shd w:val="clear" w:color="auto" w:fill="FFFFFF"/>
            <w:vAlign w:val="center"/>
          </w:tcPr>
          <w:p w14:paraId="6B95790C"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-,786</w:t>
            </w:r>
            <w:r w:rsidRPr="00A5701A">
              <w:rPr>
                <w:rFonts w:ascii="Times New Roman" w:hAnsi="Times New Roman" w:cs="Times New Roman"/>
                <w:color w:val="000000"/>
                <w:sz w:val="16"/>
                <w:szCs w:val="16"/>
                <w:vertAlign w:val="superscript"/>
              </w:rPr>
              <w:t>**</w:t>
            </w:r>
          </w:p>
        </w:tc>
        <w:tc>
          <w:tcPr>
            <w:tcW w:w="1417" w:type="dxa"/>
            <w:tcBorders>
              <w:top w:val="nil"/>
              <w:right w:val="single" w:sz="16" w:space="0" w:color="000000"/>
            </w:tcBorders>
            <w:shd w:val="clear" w:color="auto" w:fill="FFFFFF"/>
            <w:vAlign w:val="center"/>
          </w:tcPr>
          <w:p w14:paraId="60519FB1"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w:t>
            </w:r>
          </w:p>
        </w:tc>
      </w:tr>
      <w:tr w:rsidR="00103AEB" w:rsidRPr="00A1795E" w14:paraId="6D275A2E" w14:textId="77777777" w:rsidTr="00A5701A">
        <w:trPr>
          <w:cantSplit/>
          <w:trHeight w:val="290"/>
        </w:trPr>
        <w:tc>
          <w:tcPr>
            <w:tcW w:w="1621" w:type="dxa"/>
            <w:vMerge/>
            <w:tcBorders>
              <w:top w:val="nil"/>
              <w:left w:val="single" w:sz="16" w:space="0" w:color="000000"/>
              <w:bottom w:val="single" w:sz="16" w:space="0" w:color="000000"/>
              <w:right w:val="nil"/>
            </w:tcBorders>
            <w:shd w:val="clear" w:color="auto" w:fill="FFFFFF"/>
          </w:tcPr>
          <w:p w14:paraId="580CC03A" w14:textId="77777777" w:rsidR="00103AEB" w:rsidRPr="00A5701A" w:rsidRDefault="00103AEB" w:rsidP="00A5701A">
            <w:pPr>
              <w:autoSpaceDE w:val="0"/>
              <w:autoSpaceDN w:val="0"/>
              <w:adjustRightInd w:val="0"/>
              <w:spacing w:line="240" w:lineRule="auto"/>
              <w:rPr>
                <w:rFonts w:ascii="Times New Roman" w:hAnsi="Times New Roman" w:cs="Times New Roman"/>
                <w:color w:val="000000"/>
                <w:sz w:val="16"/>
                <w:szCs w:val="16"/>
              </w:rPr>
            </w:pPr>
          </w:p>
        </w:tc>
        <w:tc>
          <w:tcPr>
            <w:tcW w:w="1640" w:type="dxa"/>
            <w:tcBorders>
              <w:top w:val="nil"/>
              <w:left w:val="nil"/>
              <w:bottom w:val="nil"/>
              <w:right w:val="single" w:sz="16" w:space="0" w:color="000000"/>
            </w:tcBorders>
            <w:shd w:val="clear" w:color="auto" w:fill="FFFFFF"/>
          </w:tcPr>
          <w:p w14:paraId="7C3751A6"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Sig. (2 extremidades)</w:t>
            </w:r>
          </w:p>
        </w:tc>
        <w:tc>
          <w:tcPr>
            <w:tcW w:w="1417" w:type="dxa"/>
            <w:tcBorders>
              <w:top w:val="nil"/>
              <w:left w:val="single" w:sz="16" w:space="0" w:color="000000"/>
              <w:bottom w:val="nil"/>
            </w:tcBorders>
            <w:shd w:val="clear" w:color="auto" w:fill="FFFFFF"/>
            <w:vAlign w:val="center"/>
          </w:tcPr>
          <w:p w14:paraId="714452AD"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c>
          <w:tcPr>
            <w:tcW w:w="1276" w:type="dxa"/>
            <w:tcBorders>
              <w:top w:val="nil"/>
              <w:bottom w:val="nil"/>
            </w:tcBorders>
            <w:shd w:val="clear" w:color="auto" w:fill="FFFFFF"/>
            <w:vAlign w:val="center"/>
          </w:tcPr>
          <w:p w14:paraId="65249CF9"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c>
          <w:tcPr>
            <w:tcW w:w="1276" w:type="dxa"/>
            <w:tcBorders>
              <w:top w:val="nil"/>
              <w:bottom w:val="nil"/>
            </w:tcBorders>
            <w:shd w:val="clear" w:color="auto" w:fill="FFFFFF"/>
            <w:vAlign w:val="center"/>
          </w:tcPr>
          <w:p w14:paraId="48A6EC7A"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,000</w:t>
            </w:r>
          </w:p>
        </w:tc>
        <w:tc>
          <w:tcPr>
            <w:tcW w:w="1417" w:type="dxa"/>
            <w:tcBorders>
              <w:top w:val="nil"/>
              <w:bottom w:val="nil"/>
              <w:right w:val="single" w:sz="16" w:space="0" w:color="000000"/>
            </w:tcBorders>
            <w:shd w:val="clear" w:color="auto" w:fill="FFFFFF"/>
            <w:vAlign w:val="center"/>
          </w:tcPr>
          <w:p w14:paraId="46CACD00" w14:textId="77777777" w:rsidR="00103AEB" w:rsidRPr="00A5701A" w:rsidRDefault="00103AEB" w:rsidP="00A5701A">
            <w:pPr>
              <w:autoSpaceDE w:val="0"/>
              <w:autoSpaceDN w:val="0"/>
              <w:adjustRightInd w:val="0"/>
              <w:spacing w:line="240" w:lineRule="auto"/>
              <w:rPr>
                <w:rFonts w:ascii="Times New Roman" w:hAnsi="Times New Roman" w:cs="Times New Roman"/>
                <w:sz w:val="16"/>
                <w:szCs w:val="16"/>
              </w:rPr>
            </w:pPr>
          </w:p>
        </w:tc>
      </w:tr>
      <w:tr w:rsidR="00103AEB" w:rsidRPr="00A1795E" w14:paraId="073A8483" w14:textId="77777777" w:rsidTr="00A5701A">
        <w:trPr>
          <w:cantSplit/>
          <w:trHeight w:val="290"/>
        </w:trPr>
        <w:tc>
          <w:tcPr>
            <w:tcW w:w="1621" w:type="dxa"/>
            <w:vMerge/>
            <w:tcBorders>
              <w:top w:val="nil"/>
              <w:left w:val="single" w:sz="16" w:space="0" w:color="000000"/>
              <w:bottom w:val="single" w:sz="16" w:space="0" w:color="000000"/>
              <w:right w:val="nil"/>
            </w:tcBorders>
            <w:shd w:val="clear" w:color="auto" w:fill="FFFFFF"/>
          </w:tcPr>
          <w:p w14:paraId="19BB871B" w14:textId="77777777" w:rsidR="00103AEB" w:rsidRPr="00A5701A" w:rsidRDefault="00103AEB" w:rsidP="00A5701A">
            <w:pPr>
              <w:autoSpaceDE w:val="0"/>
              <w:autoSpaceDN w:val="0"/>
              <w:adjustRightInd w:val="0"/>
              <w:spacing w:line="240" w:lineRule="auto"/>
              <w:rPr>
                <w:rFonts w:ascii="Times New Roman" w:hAnsi="Times New Roman" w:cs="Times New Roman"/>
                <w:sz w:val="16"/>
                <w:szCs w:val="16"/>
              </w:rPr>
            </w:pPr>
          </w:p>
        </w:tc>
        <w:tc>
          <w:tcPr>
            <w:tcW w:w="1640" w:type="dxa"/>
            <w:tcBorders>
              <w:top w:val="nil"/>
              <w:left w:val="nil"/>
              <w:bottom w:val="single" w:sz="16" w:space="0" w:color="000000"/>
              <w:right w:val="single" w:sz="16" w:space="0" w:color="000000"/>
            </w:tcBorders>
            <w:shd w:val="clear" w:color="auto" w:fill="FFFFFF"/>
          </w:tcPr>
          <w:p w14:paraId="4A3ADBF8" w14:textId="77777777" w:rsidR="00103AEB" w:rsidRPr="00A5701A" w:rsidRDefault="00103AEB" w:rsidP="00A5701A">
            <w:pPr>
              <w:autoSpaceDE w:val="0"/>
              <w:autoSpaceDN w:val="0"/>
              <w:adjustRightInd w:val="0"/>
              <w:spacing w:line="240" w:lineRule="auto"/>
              <w:ind w:left="60" w:right="60"/>
              <w:rPr>
                <w:rFonts w:ascii="Times New Roman" w:hAnsi="Times New Roman" w:cs="Times New Roman"/>
                <w:color w:val="000000"/>
                <w:sz w:val="16"/>
                <w:szCs w:val="16"/>
              </w:rPr>
            </w:pPr>
            <w:r w:rsidRPr="00A5701A">
              <w:rPr>
                <w:rFonts w:ascii="Times New Roman" w:hAnsi="Times New Roman" w:cs="Times New Roman"/>
                <w:color w:val="000000"/>
                <w:sz w:val="16"/>
                <w:szCs w:val="16"/>
              </w:rPr>
              <w:t>N</w:t>
            </w:r>
          </w:p>
        </w:tc>
        <w:tc>
          <w:tcPr>
            <w:tcW w:w="1417" w:type="dxa"/>
            <w:tcBorders>
              <w:top w:val="nil"/>
              <w:left w:val="single" w:sz="16" w:space="0" w:color="000000"/>
              <w:bottom w:val="single" w:sz="16" w:space="0" w:color="000000"/>
            </w:tcBorders>
            <w:shd w:val="clear" w:color="auto" w:fill="FFFFFF"/>
            <w:vAlign w:val="center"/>
          </w:tcPr>
          <w:p w14:paraId="4F1585AB"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174</w:t>
            </w:r>
          </w:p>
        </w:tc>
        <w:tc>
          <w:tcPr>
            <w:tcW w:w="1276" w:type="dxa"/>
            <w:tcBorders>
              <w:top w:val="nil"/>
              <w:bottom w:val="single" w:sz="16" w:space="0" w:color="000000"/>
            </w:tcBorders>
            <w:shd w:val="clear" w:color="auto" w:fill="FFFFFF"/>
            <w:vAlign w:val="center"/>
          </w:tcPr>
          <w:p w14:paraId="07B5E364"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174</w:t>
            </w:r>
          </w:p>
        </w:tc>
        <w:tc>
          <w:tcPr>
            <w:tcW w:w="1276" w:type="dxa"/>
            <w:tcBorders>
              <w:top w:val="nil"/>
              <w:bottom w:val="single" w:sz="16" w:space="0" w:color="000000"/>
            </w:tcBorders>
            <w:shd w:val="clear" w:color="auto" w:fill="FFFFFF"/>
            <w:vAlign w:val="center"/>
          </w:tcPr>
          <w:p w14:paraId="67E126E0"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160</w:t>
            </w:r>
          </w:p>
        </w:tc>
        <w:tc>
          <w:tcPr>
            <w:tcW w:w="1417" w:type="dxa"/>
            <w:tcBorders>
              <w:top w:val="nil"/>
              <w:bottom w:val="single" w:sz="16" w:space="0" w:color="000000"/>
              <w:right w:val="single" w:sz="16" w:space="0" w:color="000000"/>
            </w:tcBorders>
            <w:shd w:val="clear" w:color="auto" w:fill="FFFFFF"/>
            <w:vAlign w:val="center"/>
          </w:tcPr>
          <w:p w14:paraId="439D5E61" w14:textId="77777777" w:rsidR="00103AEB" w:rsidRPr="00A5701A" w:rsidRDefault="00103AEB" w:rsidP="00A5701A">
            <w:pPr>
              <w:autoSpaceDE w:val="0"/>
              <w:autoSpaceDN w:val="0"/>
              <w:adjustRightInd w:val="0"/>
              <w:spacing w:line="240" w:lineRule="auto"/>
              <w:ind w:left="60" w:right="60"/>
              <w:jc w:val="right"/>
              <w:rPr>
                <w:rFonts w:ascii="Times New Roman" w:hAnsi="Times New Roman" w:cs="Times New Roman"/>
                <w:color w:val="000000"/>
                <w:sz w:val="16"/>
                <w:szCs w:val="16"/>
              </w:rPr>
            </w:pPr>
            <w:r w:rsidRPr="00A5701A">
              <w:rPr>
                <w:rFonts w:ascii="Times New Roman" w:hAnsi="Times New Roman" w:cs="Times New Roman"/>
                <w:color w:val="000000"/>
                <w:sz w:val="16"/>
                <w:szCs w:val="16"/>
              </w:rPr>
              <w:t>174</w:t>
            </w:r>
          </w:p>
        </w:tc>
      </w:tr>
      <w:tr w:rsidR="00103AEB" w:rsidRPr="00A1795E" w14:paraId="57B66C9F" w14:textId="77777777" w:rsidTr="00A5701A">
        <w:trPr>
          <w:cantSplit/>
          <w:trHeight w:val="254"/>
        </w:trPr>
        <w:tc>
          <w:tcPr>
            <w:tcW w:w="8647" w:type="dxa"/>
            <w:gridSpan w:val="6"/>
            <w:tcBorders>
              <w:top w:val="nil"/>
              <w:left w:val="nil"/>
              <w:bottom w:val="nil"/>
              <w:right w:val="nil"/>
            </w:tcBorders>
            <w:shd w:val="clear" w:color="auto" w:fill="FFFFFF"/>
          </w:tcPr>
          <w:p w14:paraId="6AFA3DD3" w14:textId="77777777" w:rsidR="00103AEB" w:rsidRPr="00A5701A" w:rsidRDefault="00103AEB" w:rsidP="00A5701A">
            <w:pPr>
              <w:autoSpaceDE w:val="0"/>
              <w:autoSpaceDN w:val="0"/>
              <w:adjustRightInd w:val="0"/>
              <w:spacing w:line="320" w:lineRule="atLeast"/>
              <w:ind w:left="60" w:right="60"/>
              <w:jc w:val="center"/>
              <w:rPr>
                <w:rFonts w:ascii="Times New Roman" w:hAnsi="Times New Roman" w:cs="Times New Roman"/>
                <w:color w:val="000000"/>
                <w:sz w:val="20"/>
                <w:szCs w:val="20"/>
              </w:rPr>
            </w:pPr>
            <w:r w:rsidRPr="00A5701A">
              <w:rPr>
                <w:rFonts w:ascii="Times New Roman" w:hAnsi="Times New Roman" w:cs="Times New Roman"/>
                <w:color w:val="000000"/>
                <w:sz w:val="20"/>
                <w:szCs w:val="20"/>
              </w:rPr>
              <w:t>**. A correlação é significativa no nível 0,01 (2 extremidades).</w:t>
            </w:r>
          </w:p>
          <w:p w14:paraId="1D22B640" w14:textId="77777777" w:rsidR="00103AEB" w:rsidRPr="00794E8F" w:rsidRDefault="00103AEB" w:rsidP="00A5701A">
            <w:pPr>
              <w:autoSpaceDE w:val="0"/>
              <w:autoSpaceDN w:val="0"/>
              <w:adjustRightInd w:val="0"/>
              <w:spacing w:line="320" w:lineRule="atLeast"/>
              <w:ind w:left="60" w:right="60"/>
              <w:jc w:val="center"/>
              <w:rPr>
                <w:rFonts w:cs="Arial"/>
                <w:color w:val="000000"/>
                <w:sz w:val="20"/>
                <w:szCs w:val="20"/>
              </w:rPr>
            </w:pPr>
            <w:r w:rsidRPr="00A5701A">
              <w:rPr>
                <w:rFonts w:ascii="Times New Roman" w:hAnsi="Times New Roman" w:cs="Times New Roman"/>
                <w:color w:val="000000"/>
                <w:sz w:val="20"/>
                <w:szCs w:val="20"/>
              </w:rPr>
              <w:t>Fonte: A Autora</w:t>
            </w:r>
          </w:p>
        </w:tc>
      </w:tr>
    </w:tbl>
    <w:bookmarkEnd w:id="6"/>
    <w:p w14:paraId="6E5E8C6B" w14:textId="78AF8D8E" w:rsidR="008116BA" w:rsidRPr="00A5701A" w:rsidRDefault="005C5D4D" w:rsidP="008B7616">
      <w:pPr>
        <w:rPr>
          <w:rFonts w:ascii="Times New Roman" w:hAnsi="Times New Roman" w:cs="Times New Roman"/>
          <w:szCs w:val="24"/>
        </w:rPr>
      </w:pPr>
      <w:r w:rsidRPr="00A5701A">
        <w:rPr>
          <w:rFonts w:ascii="Times New Roman" w:hAnsi="Times New Roman" w:cs="Times New Roman"/>
          <w:szCs w:val="24"/>
        </w:rPr>
        <w:t xml:space="preserve">Pode se observar   de acordo com a tabela </w:t>
      </w:r>
      <w:r w:rsidR="009A0957" w:rsidRPr="00A5701A">
        <w:rPr>
          <w:rFonts w:ascii="Times New Roman" w:hAnsi="Times New Roman" w:cs="Times New Roman"/>
          <w:szCs w:val="24"/>
        </w:rPr>
        <w:t>6</w:t>
      </w:r>
      <w:r w:rsidRPr="00A5701A">
        <w:rPr>
          <w:rFonts w:ascii="Times New Roman" w:hAnsi="Times New Roman" w:cs="Times New Roman"/>
          <w:szCs w:val="24"/>
        </w:rPr>
        <w:t xml:space="preserve"> que há correlação entre o índice de qualidade de vida e a densidade populacional. Ela é apresentada pelo coeficiente de correlação linear o R representado na tabela pelo -0,511 que está negativo. Esse valor indica que há uma correlação negativa, ou seja, a densidade populacional e o índice de qualidade de vida movem-se em direções opostas, quando a densidade populacional cresce o índice de qualidade de vida decresce</w:t>
      </w:r>
      <w:r w:rsidR="008116BA" w:rsidRPr="00A5701A">
        <w:rPr>
          <w:rFonts w:ascii="Times New Roman" w:hAnsi="Times New Roman" w:cs="Times New Roman"/>
          <w:szCs w:val="24"/>
        </w:rPr>
        <w:t xml:space="preserve">. As cidades densas, como Tóquio no Japão, Seoul na Coréia, Nova Iorque nos Estados Unidos e Hong Kong, não estão entre as 50 primeiras classificadas da Numbeo. A densidade populacional destas cidades é a maior, como apresentado na tabela </w:t>
      </w:r>
      <w:r w:rsidR="009A0957" w:rsidRPr="00A5701A">
        <w:rPr>
          <w:rFonts w:ascii="Times New Roman" w:hAnsi="Times New Roman" w:cs="Times New Roman"/>
          <w:szCs w:val="24"/>
        </w:rPr>
        <w:t>7</w:t>
      </w:r>
      <w:r w:rsidR="008116BA" w:rsidRPr="00A5701A">
        <w:rPr>
          <w:rFonts w:ascii="Times New Roman" w:hAnsi="Times New Roman" w:cs="Times New Roman"/>
          <w:szCs w:val="24"/>
        </w:rPr>
        <w:t xml:space="preserve">. </w:t>
      </w:r>
    </w:p>
    <w:p w14:paraId="17F64347" w14:textId="1D59B43C" w:rsidR="00246A46" w:rsidRPr="00A5701A" w:rsidRDefault="00246A46" w:rsidP="00246A46">
      <w:pPr>
        <w:ind w:firstLine="567"/>
        <w:rPr>
          <w:rFonts w:ascii="Times New Roman" w:hAnsi="Times New Roman" w:cs="Times New Roman"/>
          <w:szCs w:val="24"/>
        </w:rPr>
      </w:pPr>
      <w:r w:rsidRPr="00A5701A">
        <w:rPr>
          <w:rFonts w:ascii="Times New Roman" w:hAnsi="Times New Roman" w:cs="Times New Roman"/>
          <w:sz w:val="20"/>
          <w:szCs w:val="20"/>
        </w:rPr>
        <w:t xml:space="preserve">Tabela </w:t>
      </w:r>
      <w:r w:rsidR="009A0957" w:rsidRPr="00A5701A">
        <w:rPr>
          <w:rFonts w:ascii="Times New Roman" w:hAnsi="Times New Roman" w:cs="Times New Roman"/>
          <w:sz w:val="20"/>
          <w:szCs w:val="20"/>
        </w:rPr>
        <w:t>7</w:t>
      </w:r>
      <w:r w:rsidRPr="00A5701A">
        <w:rPr>
          <w:rFonts w:ascii="Times New Roman" w:hAnsi="Times New Roman" w:cs="Times New Roman"/>
          <w:sz w:val="20"/>
          <w:szCs w:val="20"/>
        </w:rPr>
        <w:t xml:space="preserve"> – Cidades densas &amp; classificação no Demographia e Índice de Qualidade de vida da Numbeo</w:t>
      </w:r>
    </w:p>
    <w:tbl>
      <w:tblPr>
        <w:tblStyle w:val="Tabelacomgrade"/>
        <w:tblW w:w="0" w:type="auto"/>
        <w:tblLook w:val="04A0" w:firstRow="1" w:lastRow="0" w:firstColumn="1" w:lastColumn="0" w:noHBand="0" w:noVBand="1"/>
      </w:tblPr>
      <w:tblGrid>
        <w:gridCol w:w="1187"/>
        <w:gridCol w:w="1269"/>
        <w:gridCol w:w="1784"/>
        <w:gridCol w:w="1434"/>
        <w:gridCol w:w="1384"/>
        <w:gridCol w:w="1436"/>
      </w:tblGrid>
      <w:tr w:rsidR="00246A46" w14:paraId="6894B90B" w14:textId="77777777" w:rsidTr="00A5701A">
        <w:tc>
          <w:tcPr>
            <w:tcW w:w="1289" w:type="dxa"/>
          </w:tcPr>
          <w:p w14:paraId="5D7FCC63"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Cidade</w:t>
            </w:r>
          </w:p>
        </w:tc>
        <w:tc>
          <w:tcPr>
            <w:tcW w:w="1336" w:type="dxa"/>
          </w:tcPr>
          <w:p w14:paraId="0AD0EAC1"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População estimada 2018</w:t>
            </w:r>
          </w:p>
          <w:p w14:paraId="0BCA9A1A" w14:textId="77777777" w:rsidR="00246A46" w:rsidRPr="00A5701A" w:rsidRDefault="00246A46" w:rsidP="00A5701A">
            <w:pPr>
              <w:jc w:val="center"/>
              <w:rPr>
                <w:rFonts w:ascii="Times New Roman" w:hAnsi="Times New Roman" w:cs="Times New Roman"/>
                <w:sz w:val="16"/>
                <w:szCs w:val="16"/>
              </w:rPr>
            </w:pPr>
          </w:p>
        </w:tc>
        <w:tc>
          <w:tcPr>
            <w:tcW w:w="1913" w:type="dxa"/>
          </w:tcPr>
          <w:p w14:paraId="76867C75"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Classificação de densidade entre de 1064 cidades (Demographia 2018)</w:t>
            </w:r>
          </w:p>
        </w:tc>
        <w:tc>
          <w:tcPr>
            <w:tcW w:w="1537" w:type="dxa"/>
          </w:tcPr>
          <w:p w14:paraId="20618A5E"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Área por quilômetro quadrado</w:t>
            </w:r>
          </w:p>
        </w:tc>
        <w:tc>
          <w:tcPr>
            <w:tcW w:w="1477" w:type="dxa"/>
          </w:tcPr>
          <w:p w14:paraId="59060759"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População por quilômetro quadrado</w:t>
            </w:r>
          </w:p>
        </w:tc>
        <w:tc>
          <w:tcPr>
            <w:tcW w:w="1510" w:type="dxa"/>
          </w:tcPr>
          <w:p w14:paraId="5754BAF2"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Classificação da Numbeo</w:t>
            </w:r>
          </w:p>
        </w:tc>
      </w:tr>
      <w:tr w:rsidR="00246A46" w14:paraId="757CA971" w14:textId="77777777" w:rsidTr="00A5701A">
        <w:tc>
          <w:tcPr>
            <w:tcW w:w="1289" w:type="dxa"/>
          </w:tcPr>
          <w:p w14:paraId="2C8BC0C0"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Hong Kong</w:t>
            </w:r>
          </w:p>
        </w:tc>
        <w:tc>
          <w:tcPr>
            <w:tcW w:w="1336" w:type="dxa"/>
          </w:tcPr>
          <w:p w14:paraId="086E52DB"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7.380.000</w:t>
            </w:r>
          </w:p>
        </w:tc>
        <w:tc>
          <w:tcPr>
            <w:tcW w:w="1913" w:type="dxa"/>
          </w:tcPr>
          <w:p w14:paraId="0B6D4B84"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7</w:t>
            </w:r>
          </w:p>
        </w:tc>
        <w:tc>
          <w:tcPr>
            <w:tcW w:w="1537" w:type="dxa"/>
          </w:tcPr>
          <w:p w14:paraId="7AF6C404"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285</w:t>
            </w:r>
          </w:p>
        </w:tc>
        <w:tc>
          <w:tcPr>
            <w:tcW w:w="1477" w:type="dxa"/>
          </w:tcPr>
          <w:p w14:paraId="67CACF14"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25.900</w:t>
            </w:r>
          </w:p>
        </w:tc>
        <w:tc>
          <w:tcPr>
            <w:tcW w:w="1510" w:type="dxa"/>
            <w:shd w:val="clear" w:color="auto" w:fill="FFFF00"/>
          </w:tcPr>
          <w:p w14:paraId="6A771565"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146</w:t>
            </w:r>
          </w:p>
        </w:tc>
      </w:tr>
      <w:tr w:rsidR="00246A46" w14:paraId="64EE7AFB" w14:textId="77777777" w:rsidTr="00A5701A">
        <w:tc>
          <w:tcPr>
            <w:tcW w:w="1289" w:type="dxa"/>
          </w:tcPr>
          <w:p w14:paraId="4A7D4784"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Nova Iorque</w:t>
            </w:r>
          </w:p>
        </w:tc>
        <w:tc>
          <w:tcPr>
            <w:tcW w:w="1336" w:type="dxa"/>
          </w:tcPr>
          <w:p w14:paraId="432D6958"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21.575.000</w:t>
            </w:r>
          </w:p>
        </w:tc>
        <w:tc>
          <w:tcPr>
            <w:tcW w:w="1913" w:type="dxa"/>
          </w:tcPr>
          <w:p w14:paraId="402F3F5E"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970</w:t>
            </w:r>
          </w:p>
        </w:tc>
        <w:tc>
          <w:tcPr>
            <w:tcW w:w="1537" w:type="dxa"/>
          </w:tcPr>
          <w:p w14:paraId="6F9ED04A"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11.875</w:t>
            </w:r>
          </w:p>
        </w:tc>
        <w:tc>
          <w:tcPr>
            <w:tcW w:w="1477" w:type="dxa"/>
          </w:tcPr>
          <w:p w14:paraId="3AA98A3D"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1.700</w:t>
            </w:r>
          </w:p>
        </w:tc>
        <w:tc>
          <w:tcPr>
            <w:tcW w:w="1510" w:type="dxa"/>
            <w:shd w:val="clear" w:color="auto" w:fill="FFFF00"/>
          </w:tcPr>
          <w:p w14:paraId="15291A9B"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109</w:t>
            </w:r>
          </w:p>
        </w:tc>
      </w:tr>
      <w:tr w:rsidR="00246A46" w14:paraId="38617272" w14:textId="77777777" w:rsidTr="00A5701A">
        <w:tc>
          <w:tcPr>
            <w:tcW w:w="1289" w:type="dxa"/>
          </w:tcPr>
          <w:p w14:paraId="2BF0E4BF"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Seoul</w:t>
            </w:r>
          </w:p>
        </w:tc>
        <w:tc>
          <w:tcPr>
            <w:tcW w:w="1336" w:type="dxa"/>
          </w:tcPr>
          <w:p w14:paraId="53844D00" w14:textId="77777777" w:rsidR="00246A46" w:rsidRPr="00A5701A" w:rsidRDefault="00246A46" w:rsidP="00A5701A">
            <w:pPr>
              <w:jc w:val="center"/>
              <w:rPr>
                <w:rFonts w:ascii="Times New Roman" w:hAnsi="Times New Roman" w:cs="Times New Roman"/>
                <w:color w:val="000000"/>
                <w:sz w:val="16"/>
                <w:szCs w:val="16"/>
              </w:rPr>
            </w:pPr>
            <w:r w:rsidRPr="00A5701A">
              <w:rPr>
                <w:rFonts w:ascii="Times New Roman" w:hAnsi="Times New Roman" w:cs="Times New Roman"/>
                <w:color w:val="000000"/>
                <w:sz w:val="16"/>
                <w:szCs w:val="16"/>
              </w:rPr>
              <w:t>24.210.000</w:t>
            </w:r>
          </w:p>
          <w:p w14:paraId="158ADC22" w14:textId="77777777" w:rsidR="00246A46" w:rsidRPr="00A5701A" w:rsidRDefault="00246A46" w:rsidP="00A5701A">
            <w:pPr>
              <w:jc w:val="center"/>
              <w:rPr>
                <w:rFonts w:ascii="Times New Roman" w:hAnsi="Times New Roman" w:cs="Times New Roman"/>
                <w:sz w:val="16"/>
                <w:szCs w:val="16"/>
              </w:rPr>
            </w:pPr>
          </w:p>
        </w:tc>
        <w:tc>
          <w:tcPr>
            <w:tcW w:w="1913" w:type="dxa"/>
          </w:tcPr>
          <w:p w14:paraId="0B2BC3BF"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242</w:t>
            </w:r>
          </w:p>
        </w:tc>
        <w:tc>
          <w:tcPr>
            <w:tcW w:w="1537" w:type="dxa"/>
          </w:tcPr>
          <w:p w14:paraId="29011D20"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2.745</w:t>
            </w:r>
          </w:p>
        </w:tc>
        <w:tc>
          <w:tcPr>
            <w:tcW w:w="1477" w:type="dxa"/>
          </w:tcPr>
          <w:p w14:paraId="2AC72AF2"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8.800</w:t>
            </w:r>
          </w:p>
        </w:tc>
        <w:tc>
          <w:tcPr>
            <w:tcW w:w="1510" w:type="dxa"/>
            <w:shd w:val="clear" w:color="auto" w:fill="FFFF00"/>
          </w:tcPr>
          <w:p w14:paraId="35C742FB"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74</w:t>
            </w:r>
          </w:p>
        </w:tc>
      </w:tr>
      <w:tr w:rsidR="00246A46" w14:paraId="6EAAF76E" w14:textId="77777777" w:rsidTr="00A5701A">
        <w:tc>
          <w:tcPr>
            <w:tcW w:w="1289" w:type="dxa"/>
          </w:tcPr>
          <w:p w14:paraId="0D706266"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Tóquio</w:t>
            </w:r>
          </w:p>
        </w:tc>
        <w:tc>
          <w:tcPr>
            <w:tcW w:w="1336" w:type="dxa"/>
          </w:tcPr>
          <w:p w14:paraId="2B7B9482" w14:textId="77777777" w:rsidR="00246A46" w:rsidRPr="00A5701A" w:rsidRDefault="00246A46" w:rsidP="00A5701A">
            <w:pPr>
              <w:jc w:val="center"/>
              <w:rPr>
                <w:rFonts w:ascii="Times New Roman" w:hAnsi="Times New Roman" w:cs="Times New Roman"/>
                <w:color w:val="000000"/>
                <w:sz w:val="16"/>
                <w:szCs w:val="16"/>
              </w:rPr>
            </w:pPr>
            <w:r w:rsidRPr="00A5701A">
              <w:rPr>
                <w:rFonts w:ascii="Times New Roman" w:hAnsi="Times New Roman" w:cs="Times New Roman"/>
                <w:color w:val="000000"/>
                <w:sz w:val="16"/>
                <w:szCs w:val="16"/>
              </w:rPr>
              <w:t>38.050.000</w:t>
            </w:r>
          </w:p>
          <w:p w14:paraId="3EFD1492" w14:textId="77777777" w:rsidR="00246A46" w:rsidRPr="00A5701A" w:rsidRDefault="00246A46" w:rsidP="00A5701A">
            <w:pPr>
              <w:jc w:val="center"/>
              <w:rPr>
                <w:rFonts w:ascii="Times New Roman" w:hAnsi="Times New Roman" w:cs="Times New Roman"/>
                <w:sz w:val="16"/>
                <w:szCs w:val="16"/>
              </w:rPr>
            </w:pPr>
          </w:p>
        </w:tc>
        <w:tc>
          <w:tcPr>
            <w:tcW w:w="1913" w:type="dxa"/>
          </w:tcPr>
          <w:p w14:paraId="0E0AFA9C"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646</w:t>
            </w:r>
          </w:p>
        </w:tc>
        <w:tc>
          <w:tcPr>
            <w:tcW w:w="1537" w:type="dxa"/>
          </w:tcPr>
          <w:p w14:paraId="563CF6C8"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8.547</w:t>
            </w:r>
          </w:p>
        </w:tc>
        <w:tc>
          <w:tcPr>
            <w:tcW w:w="1477" w:type="dxa"/>
          </w:tcPr>
          <w:p w14:paraId="7BD434C3"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4.500</w:t>
            </w:r>
          </w:p>
        </w:tc>
        <w:tc>
          <w:tcPr>
            <w:tcW w:w="1510" w:type="dxa"/>
            <w:shd w:val="clear" w:color="auto" w:fill="FFFF00"/>
          </w:tcPr>
          <w:p w14:paraId="16F92271" w14:textId="77777777" w:rsidR="00246A46" w:rsidRPr="00A5701A" w:rsidRDefault="00246A46" w:rsidP="00A5701A">
            <w:pPr>
              <w:jc w:val="center"/>
              <w:rPr>
                <w:rFonts w:ascii="Times New Roman" w:hAnsi="Times New Roman" w:cs="Times New Roman"/>
                <w:sz w:val="16"/>
                <w:szCs w:val="16"/>
              </w:rPr>
            </w:pPr>
            <w:r w:rsidRPr="00A5701A">
              <w:rPr>
                <w:rFonts w:ascii="Times New Roman" w:hAnsi="Times New Roman" w:cs="Times New Roman"/>
                <w:sz w:val="16"/>
                <w:szCs w:val="16"/>
              </w:rPr>
              <w:t>60</w:t>
            </w:r>
          </w:p>
        </w:tc>
      </w:tr>
    </w:tbl>
    <w:p w14:paraId="2FE32183" w14:textId="77777777" w:rsidR="00246A46" w:rsidRPr="00A5701A" w:rsidRDefault="00246A46" w:rsidP="00246A46">
      <w:pPr>
        <w:spacing w:line="240" w:lineRule="auto"/>
        <w:ind w:firstLine="567"/>
        <w:jc w:val="center"/>
        <w:rPr>
          <w:rFonts w:ascii="Times New Roman" w:hAnsi="Times New Roman" w:cs="Times New Roman"/>
          <w:sz w:val="20"/>
          <w:szCs w:val="20"/>
        </w:rPr>
      </w:pPr>
      <w:r w:rsidRPr="00A5701A">
        <w:rPr>
          <w:rFonts w:ascii="Times New Roman" w:hAnsi="Times New Roman" w:cs="Times New Roman"/>
          <w:sz w:val="20"/>
          <w:szCs w:val="20"/>
        </w:rPr>
        <w:t>Fonte: A autora</w:t>
      </w:r>
    </w:p>
    <w:p w14:paraId="17D3AF8F" w14:textId="77777777" w:rsidR="00257EEA" w:rsidRDefault="00257EEA" w:rsidP="008B7616">
      <w:pPr>
        <w:rPr>
          <w:rFonts w:ascii="Times New Roman" w:hAnsi="Times New Roman" w:cs="Times New Roman"/>
          <w:szCs w:val="24"/>
        </w:rPr>
      </w:pPr>
    </w:p>
    <w:p w14:paraId="0340F8BB" w14:textId="3896D2F4" w:rsidR="008B7616" w:rsidRDefault="008B7616" w:rsidP="008B7616">
      <w:pPr>
        <w:rPr>
          <w:rFonts w:ascii="Times New Roman" w:hAnsi="Times New Roman" w:cs="Times New Roman"/>
          <w:szCs w:val="24"/>
        </w:rPr>
      </w:pPr>
      <w:r w:rsidRPr="00A5701A">
        <w:rPr>
          <w:rFonts w:ascii="Times New Roman" w:hAnsi="Times New Roman" w:cs="Times New Roman"/>
          <w:szCs w:val="24"/>
        </w:rPr>
        <w:t xml:space="preserve">Analisando a tabela </w:t>
      </w:r>
      <w:r w:rsidR="000237B3" w:rsidRPr="00A5701A">
        <w:rPr>
          <w:rFonts w:ascii="Times New Roman" w:hAnsi="Times New Roman" w:cs="Times New Roman"/>
          <w:szCs w:val="24"/>
        </w:rPr>
        <w:t>7</w:t>
      </w:r>
      <w:r w:rsidRPr="00A5701A">
        <w:rPr>
          <w:rFonts w:ascii="Times New Roman" w:hAnsi="Times New Roman" w:cs="Times New Roman"/>
          <w:szCs w:val="24"/>
        </w:rPr>
        <w:t xml:space="preserve">, a cidade de Hong Kong está na sétima colocação de um ranking de 1064 cidade no Demographia 2018, que é em ordem crescente, ou seja, da mais densa para a menos densa. E com uma classificação 146 das 184 possíveis no índice de </w:t>
      </w:r>
      <w:r w:rsidRPr="00A5701A">
        <w:rPr>
          <w:rFonts w:ascii="Times New Roman" w:hAnsi="Times New Roman" w:cs="Times New Roman"/>
          <w:szCs w:val="24"/>
        </w:rPr>
        <w:lastRenderedPageBreak/>
        <w:t>qualidade de vida da Numbeo na ordem crescente</w:t>
      </w:r>
      <w:r w:rsidR="00FA7070" w:rsidRPr="00A5701A">
        <w:rPr>
          <w:rFonts w:ascii="Times New Roman" w:hAnsi="Times New Roman" w:cs="Times New Roman"/>
          <w:szCs w:val="24"/>
        </w:rPr>
        <w:t>, confirmando a correlação entre densidade e qualidade de vida.</w:t>
      </w:r>
    </w:p>
    <w:p w14:paraId="0D27BA07" w14:textId="77777777" w:rsidR="00825D90" w:rsidRPr="00A5701A" w:rsidRDefault="00825D90" w:rsidP="008B7616">
      <w:pPr>
        <w:rPr>
          <w:rFonts w:ascii="Times New Roman" w:hAnsi="Times New Roman" w:cs="Times New Roman"/>
          <w:szCs w:val="24"/>
        </w:rPr>
      </w:pPr>
    </w:p>
    <w:p w14:paraId="36631304" w14:textId="398F1A30" w:rsidR="008379F5" w:rsidRPr="00A5701A" w:rsidRDefault="008379F5" w:rsidP="008379F5">
      <w:pPr>
        <w:rPr>
          <w:rFonts w:ascii="Times New Roman" w:hAnsi="Times New Roman" w:cs="Times New Roman"/>
          <w:b/>
          <w:bCs/>
          <w:highlight w:val="yellow"/>
        </w:rPr>
      </w:pPr>
      <w:bookmarkStart w:id="7" w:name="_Toc52456904"/>
      <w:r w:rsidRPr="00A5701A">
        <w:rPr>
          <w:rFonts w:ascii="Times New Roman" w:hAnsi="Times New Roman" w:cs="Times New Roman"/>
          <w:b/>
          <w:bCs/>
        </w:rPr>
        <w:t>3.</w:t>
      </w:r>
      <w:r w:rsidR="00E32259">
        <w:rPr>
          <w:rFonts w:ascii="Times New Roman" w:hAnsi="Times New Roman" w:cs="Times New Roman"/>
          <w:b/>
          <w:bCs/>
        </w:rPr>
        <w:t>5</w:t>
      </w:r>
      <w:r w:rsidRPr="00A5701A">
        <w:rPr>
          <w:rFonts w:ascii="Times New Roman" w:hAnsi="Times New Roman" w:cs="Times New Roman"/>
          <w:b/>
          <w:bCs/>
        </w:rPr>
        <w:t xml:space="preserve"> Determinação dos fatores que influenciam na queda da qualidade de vida nas cidades densas, pelo método Backward</w:t>
      </w:r>
      <w:bookmarkEnd w:id="7"/>
    </w:p>
    <w:p w14:paraId="2DA08992" w14:textId="5C676791" w:rsidR="00862064" w:rsidRPr="00A5701A" w:rsidRDefault="00862064" w:rsidP="0096096A">
      <w:pPr>
        <w:rPr>
          <w:rFonts w:ascii="Times New Roman" w:hAnsi="Times New Roman" w:cs="Times New Roman"/>
          <w:szCs w:val="24"/>
        </w:rPr>
      </w:pPr>
      <w:r w:rsidRPr="00A5701A">
        <w:rPr>
          <w:rFonts w:ascii="Times New Roman" w:hAnsi="Times New Roman" w:cs="Times New Roman"/>
          <w:szCs w:val="24"/>
        </w:rPr>
        <w:t xml:space="preserve">Para determinação dos fatores que influenciam na queda da qualidade de vida nas cidades densas, foi utilizado o método de exclusão de variáveis, o Backward. Segundo Fávero et al (2009), o procedimento Backawrd, a partir do qual todas as variáveis são incialmente incluídas no modelo e retiradas passo a passo em função da análise da significância estatística Sig t.  </w:t>
      </w:r>
      <w:r w:rsidR="0096096A" w:rsidRPr="00A5701A">
        <w:rPr>
          <w:rFonts w:ascii="Times New Roman" w:hAnsi="Times New Roman" w:cs="Times New Roman"/>
          <w:szCs w:val="24"/>
        </w:rPr>
        <w:t xml:space="preserve">A tabela </w:t>
      </w:r>
      <w:r w:rsidR="00A74743" w:rsidRPr="00A5701A">
        <w:rPr>
          <w:rFonts w:ascii="Times New Roman" w:hAnsi="Times New Roman" w:cs="Times New Roman"/>
          <w:szCs w:val="24"/>
        </w:rPr>
        <w:t>8</w:t>
      </w:r>
      <w:r w:rsidR="0096096A" w:rsidRPr="00A5701A">
        <w:rPr>
          <w:rFonts w:ascii="Times New Roman" w:hAnsi="Times New Roman" w:cs="Times New Roman"/>
          <w:szCs w:val="24"/>
        </w:rPr>
        <w:t xml:space="preserve"> apresenta os resultados de quatro simulações pelo procedimento Backward e os coeficientes, o software excluiu uma variável de cada vez em cada etapa (modelo), de acordo com a análise passo a passo da significância estatística.</w:t>
      </w:r>
      <w:r w:rsidR="00CE2B39" w:rsidRPr="00A5701A">
        <w:rPr>
          <w:rFonts w:ascii="Times New Roman" w:hAnsi="Times New Roman" w:cs="Times New Roman"/>
          <w:szCs w:val="24"/>
        </w:rPr>
        <w:t xml:space="preserve"> </w:t>
      </w:r>
      <w:r w:rsidR="0096096A" w:rsidRPr="00A5701A">
        <w:rPr>
          <w:rFonts w:ascii="Times New Roman" w:hAnsi="Times New Roman" w:cs="Times New Roman"/>
          <w:szCs w:val="24"/>
        </w:rPr>
        <w:t>O modelo 4   apresenta as variáveis retiradas</w:t>
      </w:r>
      <w:r w:rsidR="002B7B89" w:rsidRPr="00A5701A">
        <w:rPr>
          <w:rFonts w:ascii="Times New Roman" w:hAnsi="Times New Roman" w:cs="Times New Roman"/>
          <w:szCs w:val="24"/>
        </w:rPr>
        <w:t>.</w:t>
      </w:r>
    </w:p>
    <w:p w14:paraId="44A4726E" w14:textId="58EB59B5" w:rsidR="00FF7985" w:rsidRPr="00A5701A" w:rsidRDefault="00FF7985" w:rsidP="00FF7985">
      <w:pPr>
        <w:ind w:firstLine="567"/>
        <w:jc w:val="center"/>
        <w:rPr>
          <w:rFonts w:ascii="Times New Roman" w:hAnsi="Times New Roman" w:cs="Times New Roman"/>
          <w:szCs w:val="24"/>
          <w:lang w:val="en-US"/>
        </w:rPr>
      </w:pPr>
      <w:r w:rsidRPr="00A5701A">
        <w:rPr>
          <w:rFonts w:ascii="Times New Roman" w:hAnsi="Times New Roman" w:cs="Times New Roman"/>
          <w:color w:val="000000"/>
          <w:sz w:val="18"/>
          <w:szCs w:val="18"/>
        </w:rPr>
        <w:t xml:space="preserve">Tabela </w:t>
      </w:r>
      <w:r w:rsidR="00A74743" w:rsidRPr="00A5701A">
        <w:rPr>
          <w:rFonts w:ascii="Times New Roman" w:hAnsi="Times New Roman" w:cs="Times New Roman"/>
          <w:color w:val="000000"/>
          <w:sz w:val="18"/>
          <w:szCs w:val="18"/>
        </w:rPr>
        <w:t>8</w:t>
      </w:r>
      <w:r w:rsidRPr="00A5701A">
        <w:rPr>
          <w:rFonts w:ascii="Times New Roman" w:hAnsi="Times New Roman" w:cs="Times New Roman"/>
          <w:color w:val="000000"/>
          <w:sz w:val="18"/>
          <w:szCs w:val="18"/>
        </w:rPr>
        <w:t xml:space="preserve"> - Coeficientes</w:t>
      </w:r>
      <w:r w:rsidRPr="00A5701A">
        <w:rPr>
          <w:rFonts w:ascii="Times New Roman" w:hAnsi="Times New Roman" w:cs="Times New Roman"/>
          <w:color w:val="000000"/>
          <w:sz w:val="18"/>
          <w:szCs w:val="18"/>
          <w:vertAlign w:val="superscript"/>
        </w:rPr>
        <w:t>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1559"/>
        <w:gridCol w:w="1134"/>
        <w:gridCol w:w="1134"/>
        <w:gridCol w:w="1134"/>
        <w:gridCol w:w="850"/>
        <w:gridCol w:w="567"/>
        <w:gridCol w:w="851"/>
        <w:gridCol w:w="992"/>
      </w:tblGrid>
      <w:tr w:rsidR="000237B3" w:rsidRPr="00A1795E" w14:paraId="1A3614CF" w14:textId="77777777" w:rsidTr="00155A30">
        <w:trPr>
          <w:cantSplit/>
        </w:trPr>
        <w:tc>
          <w:tcPr>
            <w:tcW w:w="1980" w:type="dxa"/>
            <w:gridSpan w:val="2"/>
            <w:vMerge w:val="restart"/>
            <w:shd w:val="clear" w:color="auto" w:fill="FFFFFF"/>
            <w:vAlign w:val="center"/>
          </w:tcPr>
          <w:p w14:paraId="4CB3F5AC"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Modelo</w:t>
            </w:r>
          </w:p>
        </w:tc>
        <w:tc>
          <w:tcPr>
            <w:tcW w:w="2268" w:type="dxa"/>
            <w:gridSpan w:val="2"/>
            <w:shd w:val="clear" w:color="auto" w:fill="FFFFFF"/>
            <w:vAlign w:val="center"/>
          </w:tcPr>
          <w:p w14:paraId="2EE492F0"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Coeficientes não padronizados</w:t>
            </w:r>
          </w:p>
        </w:tc>
        <w:tc>
          <w:tcPr>
            <w:tcW w:w="1134" w:type="dxa"/>
            <w:shd w:val="clear" w:color="auto" w:fill="FFFFFF"/>
            <w:vAlign w:val="center"/>
          </w:tcPr>
          <w:p w14:paraId="11E5D7A8"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Coeficientes padronizados</w:t>
            </w:r>
          </w:p>
        </w:tc>
        <w:tc>
          <w:tcPr>
            <w:tcW w:w="850" w:type="dxa"/>
            <w:vMerge w:val="restart"/>
            <w:shd w:val="clear" w:color="auto" w:fill="FFFFFF"/>
            <w:vAlign w:val="center"/>
          </w:tcPr>
          <w:p w14:paraId="398F1309"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t</w:t>
            </w:r>
          </w:p>
        </w:tc>
        <w:tc>
          <w:tcPr>
            <w:tcW w:w="567" w:type="dxa"/>
            <w:vMerge w:val="restart"/>
            <w:shd w:val="clear" w:color="auto" w:fill="FFFFFF"/>
            <w:vAlign w:val="center"/>
          </w:tcPr>
          <w:p w14:paraId="40DA134A"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Sig.</w:t>
            </w:r>
          </w:p>
        </w:tc>
        <w:tc>
          <w:tcPr>
            <w:tcW w:w="1843" w:type="dxa"/>
            <w:gridSpan w:val="2"/>
            <w:shd w:val="clear" w:color="auto" w:fill="FFFFFF"/>
            <w:vAlign w:val="center"/>
          </w:tcPr>
          <w:p w14:paraId="0922E19E"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95,0% Intervalo de Confiança para B</w:t>
            </w:r>
          </w:p>
        </w:tc>
      </w:tr>
      <w:tr w:rsidR="000237B3" w:rsidRPr="00A1795E" w14:paraId="3A044587" w14:textId="77777777" w:rsidTr="00155A30">
        <w:trPr>
          <w:cantSplit/>
        </w:trPr>
        <w:tc>
          <w:tcPr>
            <w:tcW w:w="1980" w:type="dxa"/>
            <w:gridSpan w:val="2"/>
            <w:vMerge/>
            <w:shd w:val="clear" w:color="auto" w:fill="FFFFFF"/>
            <w:vAlign w:val="center"/>
          </w:tcPr>
          <w:p w14:paraId="27C91BB2" w14:textId="77777777" w:rsidR="00C67CB8" w:rsidRPr="00A5701A" w:rsidRDefault="00C67CB8" w:rsidP="00A5701A">
            <w:pPr>
              <w:autoSpaceDE w:val="0"/>
              <w:autoSpaceDN w:val="0"/>
              <w:adjustRightInd w:val="0"/>
              <w:spacing w:line="240" w:lineRule="auto"/>
              <w:jc w:val="center"/>
              <w:rPr>
                <w:rFonts w:ascii="Times New Roman" w:hAnsi="Times New Roman" w:cs="Times New Roman"/>
                <w:color w:val="000000"/>
                <w:sz w:val="18"/>
                <w:szCs w:val="18"/>
              </w:rPr>
            </w:pPr>
          </w:p>
        </w:tc>
        <w:tc>
          <w:tcPr>
            <w:tcW w:w="1134" w:type="dxa"/>
            <w:shd w:val="clear" w:color="auto" w:fill="FFFFFF"/>
            <w:vAlign w:val="center"/>
          </w:tcPr>
          <w:p w14:paraId="693854FA"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B</w:t>
            </w:r>
          </w:p>
        </w:tc>
        <w:tc>
          <w:tcPr>
            <w:tcW w:w="1134" w:type="dxa"/>
            <w:shd w:val="clear" w:color="auto" w:fill="FFFFFF"/>
            <w:vAlign w:val="center"/>
          </w:tcPr>
          <w:p w14:paraId="3120E871"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Erro Padrão</w:t>
            </w:r>
          </w:p>
        </w:tc>
        <w:tc>
          <w:tcPr>
            <w:tcW w:w="1134" w:type="dxa"/>
            <w:shd w:val="clear" w:color="auto" w:fill="FFFFFF"/>
            <w:vAlign w:val="center"/>
          </w:tcPr>
          <w:p w14:paraId="568206EC"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Beta</w:t>
            </w:r>
          </w:p>
        </w:tc>
        <w:tc>
          <w:tcPr>
            <w:tcW w:w="850" w:type="dxa"/>
            <w:vMerge/>
            <w:shd w:val="clear" w:color="auto" w:fill="FFFFFF"/>
            <w:vAlign w:val="center"/>
          </w:tcPr>
          <w:p w14:paraId="55507DB3" w14:textId="77777777" w:rsidR="00C67CB8" w:rsidRPr="00A5701A" w:rsidRDefault="00C67CB8" w:rsidP="00A5701A">
            <w:pPr>
              <w:autoSpaceDE w:val="0"/>
              <w:autoSpaceDN w:val="0"/>
              <w:adjustRightInd w:val="0"/>
              <w:spacing w:line="240" w:lineRule="auto"/>
              <w:jc w:val="center"/>
              <w:rPr>
                <w:rFonts w:ascii="Times New Roman" w:hAnsi="Times New Roman" w:cs="Times New Roman"/>
                <w:color w:val="000000"/>
                <w:sz w:val="18"/>
                <w:szCs w:val="18"/>
              </w:rPr>
            </w:pPr>
          </w:p>
        </w:tc>
        <w:tc>
          <w:tcPr>
            <w:tcW w:w="567" w:type="dxa"/>
            <w:vMerge/>
            <w:shd w:val="clear" w:color="auto" w:fill="FFFFFF"/>
            <w:vAlign w:val="center"/>
          </w:tcPr>
          <w:p w14:paraId="0BF3206F" w14:textId="77777777" w:rsidR="00C67CB8" w:rsidRPr="00A5701A" w:rsidRDefault="00C67CB8" w:rsidP="00A5701A">
            <w:pPr>
              <w:autoSpaceDE w:val="0"/>
              <w:autoSpaceDN w:val="0"/>
              <w:adjustRightInd w:val="0"/>
              <w:spacing w:line="240" w:lineRule="auto"/>
              <w:jc w:val="center"/>
              <w:rPr>
                <w:rFonts w:ascii="Times New Roman" w:hAnsi="Times New Roman" w:cs="Times New Roman"/>
                <w:color w:val="000000"/>
                <w:sz w:val="18"/>
                <w:szCs w:val="18"/>
              </w:rPr>
            </w:pPr>
          </w:p>
        </w:tc>
        <w:tc>
          <w:tcPr>
            <w:tcW w:w="851" w:type="dxa"/>
            <w:shd w:val="clear" w:color="auto" w:fill="FFFFFF"/>
            <w:vAlign w:val="center"/>
          </w:tcPr>
          <w:p w14:paraId="09300517"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Limite inferior</w:t>
            </w:r>
          </w:p>
        </w:tc>
        <w:tc>
          <w:tcPr>
            <w:tcW w:w="992" w:type="dxa"/>
            <w:shd w:val="clear" w:color="auto" w:fill="FFFFFF"/>
            <w:vAlign w:val="center"/>
          </w:tcPr>
          <w:p w14:paraId="123FF0C4"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Limite superior</w:t>
            </w:r>
          </w:p>
        </w:tc>
      </w:tr>
      <w:tr w:rsidR="000237B3" w:rsidRPr="00A1795E" w14:paraId="01E954A5" w14:textId="77777777" w:rsidTr="00155A30">
        <w:trPr>
          <w:cantSplit/>
        </w:trPr>
        <w:tc>
          <w:tcPr>
            <w:tcW w:w="421" w:type="dxa"/>
            <w:vMerge w:val="restart"/>
            <w:shd w:val="clear" w:color="auto" w:fill="FFFFFF"/>
          </w:tcPr>
          <w:p w14:paraId="50EC19F8"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1</w:t>
            </w:r>
          </w:p>
        </w:tc>
        <w:tc>
          <w:tcPr>
            <w:tcW w:w="1559" w:type="dxa"/>
            <w:shd w:val="clear" w:color="auto" w:fill="FFFFFF"/>
          </w:tcPr>
          <w:p w14:paraId="0CAD1557"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(Constante)</w:t>
            </w:r>
          </w:p>
        </w:tc>
        <w:tc>
          <w:tcPr>
            <w:tcW w:w="1134" w:type="dxa"/>
            <w:shd w:val="clear" w:color="auto" w:fill="FFFFFF"/>
            <w:vAlign w:val="center"/>
          </w:tcPr>
          <w:p w14:paraId="671860B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-6632,232</w:t>
            </w:r>
          </w:p>
        </w:tc>
        <w:tc>
          <w:tcPr>
            <w:tcW w:w="1134" w:type="dxa"/>
            <w:shd w:val="clear" w:color="auto" w:fill="FFFFFF"/>
            <w:vAlign w:val="center"/>
          </w:tcPr>
          <w:p w14:paraId="2D42B8C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4390,485</w:t>
            </w:r>
          </w:p>
        </w:tc>
        <w:tc>
          <w:tcPr>
            <w:tcW w:w="1134" w:type="dxa"/>
            <w:shd w:val="clear" w:color="auto" w:fill="FFFFFF"/>
            <w:vAlign w:val="center"/>
          </w:tcPr>
          <w:p w14:paraId="73B76688" w14:textId="77777777" w:rsidR="00C67CB8" w:rsidRPr="00A5701A" w:rsidRDefault="00C67CB8" w:rsidP="00A5701A">
            <w:pPr>
              <w:autoSpaceDE w:val="0"/>
              <w:autoSpaceDN w:val="0"/>
              <w:adjustRightInd w:val="0"/>
              <w:spacing w:line="240" w:lineRule="auto"/>
              <w:jc w:val="center"/>
              <w:rPr>
                <w:rFonts w:ascii="Times New Roman" w:hAnsi="Times New Roman" w:cs="Times New Roman"/>
                <w:sz w:val="18"/>
                <w:szCs w:val="18"/>
              </w:rPr>
            </w:pPr>
          </w:p>
        </w:tc>
        <w:tc>
          <w:tcPr>
            <w:tcW w:w="850" w:type="dxa"/>
            <w:shd w:val="clear" w:color="auto" w:fill="FFFFFF"/>
            <w:vAlign w:val="center"/>
          </w:tcPr>
          <w:p w14:paraId="5DE5711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-1,511</w:t>
            </w:r>
          </w:p>
        </w:tc>
        <w:tc>
          <w:tcPr>
            <w:tcW w:w="567" w:type="dxa"/>
            <w:shd w:val="clear" w:color="auto" w:fill="FFFFFF"/>
            <w:vAlign w:val="center"/>
          </w:tcPr>
          <w:p w14:paraId="463102D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,133</w:t>
            </w:r>
          </w:p>
        </w:tc>
        <w:tc>
          <w:tcPr>
            <w:tcW w:w="851" w:type="dxa"/>
            <w:shd w:val="clear" w:color="auto" w:fill="FFFFFF"/>
            <w:vAlign w:val="center"/>
          </w:tcPr>
          <w:p w14:paraId="6146800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-15301,006</w:t>
            </w:r>
          </w:p>
        </w:tc>
        <w:tc>
          <w:tcPr>
            <w:tcW w:w="992" w:type="dxa"/>
            <w:shd w:val="clear" w:color="auto" w:fill="FFFFFF"/>
            <w:vAlign w:val="center"/>
          </w:tcPr>
          <w:p w14:paraId="68AAF79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2036,542</w:t>
            </w:r>
          </w:p>
        </w:tc>
      </w:tr>
      <w:tr w:rsidR="000237B3" w:rsidRPr="00A1795E" w14:paraId="79C0C520" w14:textId="77777777" w:rsidTr="00155A30">
        <w:trPr>
          <w:cantSplit/>
        </w:trPr>
        <w:tc>
          <w:tcPr>
            <w:tcW w:w="421" w:type="dxa"/>
            <w:vMerge/>
            <w:shd w:val="clear" w:color="auto" w:fill="FFFFFF"/>
          </w:tcPr>
          <w:p w14:paraId="6F60E9EC"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73FAF47A"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Purchasing Power Index</w:t>
            </w:r>
          </w:p>
        </w:tc>
        <w:tc>
          <w:tcPr>
            <w:tcW w:w="1134" w:type="dxa"/>
            <w:shd w:val="clear" w:color="auto" w:fill="FFFFFF"/>
            <w:vAlign w:val="center"/>
          </w:tcPr>
          <w:p w14:paraId="7D81D2E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-15,707</w:t>
            </w:r>
          </w:p>
        </w:tc>
        <w:tc>
          <w:tcPr>
            <w:tcW w:w="1134" w:type="dxa"/>
            <w:shd w:val="clear" w:color="auto" w:fill="FFFFFF"/>
            <w:vAlign w:val="center"/>
          </w:tcPr>
          <w:p w14:paraId="78848EA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15,816</w:t>
            </w:r>
          </w:p>
        </w:tc>
        <w:tc>
          <w:tcPr>
            <w:tcW w:w="1134" w:type="dxa"/>
            <w:shd w:val="clear" w:color="auto" w:fill="FFFFFF"/>
            <w:vAlign w:val="center"/>
          </w:tcPr>
          <w:p w14:paraId="1061996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-,106</w:t>
            </w:r>
          </w:p>
        </w:tc>
        <w:tc>
          <w:tcPr>
            <w:tcW w:w="850" w:type="dxa"/>
            <w:shd w:val="clear" w:color="auto" w:fill="FFFFFF"/>
            <w:vAlign w:val="center"/>
          </w:tcPr>
          <w:p w14:paraId="0B47AEB6"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-,993</w:t>
            </w:r>
          </w:p>
        </w:tc>
        <w:tc>
          <w:tcPr>
            <w:tcW w:w="567" w:type="dxa"/>
            <w:shd w:val="clear" w:color="auto" w:fill="FFFFFF"/>
            <w:vAlign w:val="center"/>
          </w:tcPr>
          <w:p w14:paraId="580633D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,322</w:t>
            </w:r>
          </w:p>
        </w:tc>
        <w:tc>
          <w:tcPr>
            <w:tcW w:w="851" w:type="dxa"/>
            <w:shd w:val="clear" w:color="auto" w:fill="FFFFFF"/>
            <w:vAlign w:val="center"/>
          </w:tcPr>
          <w:p w14:paraId="01008486"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-46,935</w:t>
            </w:r>
          </w:p>
        </w:tc>
        <w:tc>
          <w:tcPr>
            <w:tcW w:w="992" w:type="dxa"/>
            <w:shd w:val="clear" w:color="auto" w:fill="FFFFFF"/>
            <w:vAlign w:val="center"/>
          </w:tcPr>
          <w:p w14:paraId="0BE8B6F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15,521</w:t>
            </w:r>
          </w:p>
        </w:tc>
      </w:tr>
      <w:tr w:rsidR="000237B3" w:rsidRPr="00A1795E" w14:paraId="410B2D23" w14:textId="77777777" w:rsidTr="00155A30">
        <w:trPr>
          <w:cantSplit/>
        </w:trPr>
        <w:tc>
          <w:tcPr>
            <w:tcW w:w="421" w:type="dxa"/>
            <w:vMerge/>
            <w:shd w:val="clear" w:color="auto" w:fill="FFFFFF"/>
          </w:tcPr>
          <w:p w14:paraId="73575153"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77D7C693"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Safety Index</w:t>
            </w:r>
          </w:p>
        </w:tc>
        <w:tc>
          <w:tcPr>
            <w:tcW w:w="1134" w:type="dxa"/>
            <w:shd w:val="clear" w:color="auto" w:fill="FFFFFF"/>
            <w:vAlign w:val="center"/>
          </w:tcPr>
          <w:p w14:paraId="2BE9E51F"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57,952</w:t>
            </w:r>
          </w:p>
        </w:tc>
        <w:tc>
          <w:tcPr>
            <w:tcW w:w="1134" w:type="dxa"/>
            <w:shd w:val="clear" w:color="auto" w:fill="FFFFFF"/>
            <w:vAlign w:val="center"/>
          </w:tcPr>
          <w:p w14:paraId="4707A98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28,530</w:t>
            </w:r>
          </w:p>
        </w:tc>
        <w:tc>
          <w:tcPr>
            <w:tcW w:w="1134" w:type="dxa"/>
            <w:shd w:val="clear" w:color="auto" w:fill="FFFFFF"/>
            <w:vAlign w:val="center"/>
          </w:tcPr>
          <w:p w14:paraId="0BFEB28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,160</w:t>
            </w:r>
          </w:p>
        </w:tc>
        <w:tc>
          <w:tcPr>
            <w:tcW w:w="850" w:type="dxa"/>
            <w:shd w:val="clear" w:color="auto" w:fill="FFFFFF"/>
            <w:vAlign w:val="center"/>
          </w:tcPr>
          <w:p w14:paraId="45129CE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2,031</w:t>
            </w:r>
          </w:p>
        </w:tc>
        <w:tc>
          <w:tcPr>
            <w:tcW w:w="567" w:type="dxa"/>
            <w:shd w:val="clear" w:color="auto" w:fill="FFFFFF"/>
            <w:vAlign w:val="center"/>
          </w:tcPr>
          <w:p w14:paraId="761A6A4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,044</w:t>
            </w:r>
          </w:p>
        </w:tc>
        <w:tc>
          <w:tcPr>
            <w:tcW w:w="851" w:type="dxa"/>
            <w:shd w:val="clear" w:color="auto" w:fill="FFFFFF"/>
            <w:vAlign w:val="center"/>
          </w:tcPr>
          <w:p w14:paraId="6E6B817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1,621</w:t>
            </w:r>
          </w:p>
        </w:tc>
        <w:tc>
          <w:tcPr>
            <w:tcW w:w="992" w:type="dxa"/>
            <w:shd w:val="clear" w:color="auto" w:fill="FFFFFF"/>
            <w:vAlign w:val="center"/>
          </w:tcPr>
          <w:p w14:paraId="2D52156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114,284</w:t>
            </w:r>
          </w:p>
        </w:tc>
      </w:tr>
      <w:tr w:rsidR="000237B3" w:rsidRPr="00A1795E" w14:paraId="21CCFD6F" w14:textId="77777777" w:rsidTr="00155A30">
        <w:trPr>
          <w:cantSplit/>
        </w:trPr>
        <w:tc>
          <w:tcPr>
            <w:tcW w:w="421" w:type="dxa"/>
            <w:vMerge/>
            <w:shd w:val="clear" w:color="auto" w:fill="FFFFFF"/>
          </w:tcPr>
          <w:p w14:paraId="64CF7E11"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072430AA"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Health Care Index</w:t>
            </w:r>
          </w:p>
        </w:tc>
        <w:tc>
          <w:tcPr>
            <w:tcW w:w="1134" w:type="dxa"/>
            <w:shd w:val="clear" w:color="auto" w:fill="FFFFFF"/>
            <w:vAlign w:val="center"/>
          </w:tcPr>
          <w:p w14:paraId="126B9F1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20,128</w:t>
            </w:r>
          </w:p>
        </w:tc>
        <w:tc>
          <w:tcPr>
            <w:tcW w:w="1134" w:type="dxa"/>
            <w:shd w:val="clear" w:color="auto" w:fill="FFFFFF"/>
            <w:vAlign w:val="center"/>
          </w:tcPr>
          <w:p w14:paraId="45C3B53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43,713</w:t>
            </w:r>
          </w:p>
        </w:tc>
        <w:tc>
          <w:tcPr>
            <w:tcW w:w="1134" w:type="dxa"/>
            <w:shd w:val="clear" w:color="auto" w:fill="FFFFFF"/>
            <w:vAlign w:val="center"/>
          </w:tcPr>
          <w:p w14:paraId="000CA44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,036</w:t>
            </w:r>
          </w:p>
        </w:tc>
        <w:tc>
          <w:tcPr>
            <w:tcW w:w="850" w:type="dxa"/>
            <w:shd w:val="clear" w:color="auto" w:fill="FFFFFF"/>
            <w:vAlign w:val="center"/>
          </w:tcPr>
          <w:p w14:paraId="000602D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,460</w:t>
            </w:r>
          </w:p>
        </w:tc>
        <w:tc>
          <w:tcPr>
            <w:tcW w:w="567" w:type="dxa"/>
            <w:shd w:val="clear" w:color="auto" w:fill="FFFFFF"/>
            <w:vAlign w:val="center"/>
          </w:tcPr>
          <w:p w14:paraId="01A7D8E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,646</w:t>
            </w:r>
          </w:p>
        </w:tc>
        <w:tc>
          <w:tcPr>
            <w:tcW w:w="851" w:type="dxa"/>
            <w:shd w:val="clear" w:color="auto" w:fill="FFFFFF"/>
            <w:vAlign w:val="center"/>
          </w:tcPr>
          <w:p w14:paraId="1F392BDF"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-66,180</w:t>
            </w:r>
          </w:p>
        </w:tc>
        <w:tc>
          <w:tcPr>
            <w:tcW w:w="992" w:type="dxa"/>
            <w:shd w:val="clear" w:color="auto" w:fill="FFFFFF"/>
            <w:vAlign w:val="center"/>
          </w:tcPr>
          <w:p w14:paraId="6F54C31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106,437</w:t>
            </w:r>
          </w:p>
        </w:tc>
      </w:tr>
      <w:tr w:rsidR="000237B3" w:rsidRPr="00A1795E" w14:paraId="07B881E2" w14:textId="77777777" w:rsidTr="00155A30">
        <w:trPr>
          <w:cantSplit/>
        </w:trPr>
        <w:tc>
          <w:tcPr>
            <w:tcW w:w="421" w:type="dxa"/>
            <w:vMerge/>
            <w:shd w:val="clear" w:color="auto" w:fill="FFFFFF"/>
          </w:tcPr>
          <w:p w14:paraId="50234817"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7491801B"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Cost of Living Index</w:t>
            </w:r>
          </w:p>
        </w:tc>
        <w:tc>
          <w:tcPr>
            <w:tcW w:w="1134" w:type="dxa"/>
            <w:shd w:val="clear" w:color="auto" w:fill="FFFFFF"/>
            <w:vAlign w:val="center"/>
          </w:tcPr>
          <w:p w14:paraId="0CEC7F4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-34,234</w:t>
            </w:r>
          </w:p>
        </w:tc>
        <w:tc>
          <w:tcPr>
            <w:tcW w:w="1134" w:type="dxa"/>
            <w:shd w:val="clear" w:color="auto" w:fill="FFFFFF"/>
            <w:vAlign w:val="center"/>
          </w:tcPr>
          <w:p w14:paraId="67DB76D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23,366</w:t>
            </w:r>
          </w:p>
        </w:tc>
        <w:tc>
          <w:tcPr>
            <w:tcW w:w="1134" w:type="dxa"/>
            <w:shd w:val="clear" w:color="auto" w:fill="FFFFFF"/>
            <w:vAlign w:val="center"/>
          </w:tcPr>
          <w:p w14:paraId="696A40AF"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-,144</w:t>
            </w:r>
          </w:p>
        </w:tc>
        <w:tc>
          <w:tcPr>
            <w:tcW w:w="850" w:type="dxa"/>
            <w:shd w:val="clear" w:color="auto" w:fill="FFFFFF"/>
            <w:vAlign w:val="center"/>
          </w:tcPr>
          <w:p w14:paraId="2C40771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-1,465</w:t>
            </w:r>
          </w:p>
        </w:tc>
        <w:tc>
          <w:tcPr>
            <w:tcW w:w="567" w:type="dxa"/>
            <w:shd w:val="clear" w:color="auto" w:fill="FFFFFF"/>
            <w:vAlign w:val="center"/>
          </w:tcPr>
          <w:p w14:paraId="40251D9F"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,145</w:t>
            </w:r>
          </w:p>
        </w:tc>
        <w:tc>
          <w:tcPr>
            <w:tcW w:w="851" w:type="dxa"/>
            <w:shd w:val="clear" w:color="auto" w:fill="FFFFFF"/>
            <w:vAlign w:val="center"/>
          </w:tcPr>
          <w:p w14:paraId="6AEE310E"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-80,370</w:t>
            </w:r>
          </w:p>
        </w:tc>
        <w:tc>
          <w:tcPr>
            <w:tcW w:w="992" w:type="dxa"/>
            <w:shd w:val="clear" w:color="auto" w:fill="FFFFFF"/>
            <w:vAlign w:val="center"/>
          </w:tcPr>
          <w:p w14:paraId="4EDCCD3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11,902</w:t>
            </w:r>
          </w:p>
        </w:tc>
      </w:tr>
      <w:tr w:rsidR="000237B3" w:rsidRPr="00A1795E" w14:paraId="119DD0C4" w14:textId="77777777" w:rsidTr="00155A30">
        <w:trPr>
          <w:cantSplit/>
        </w:trPr>
        <w:tc>
          <w:tcPr>
            <w:tcW w:w="421" w:type="dxa"/>
            <w:vMerge/>
            <w:shd w:val="clear" w:color="auto" w:fill="FFFFFF"/>
          </w:tcPr>
          <w:p w14:paraId="4C5B6D9A"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6A88971E"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5701A">
              <w:rPr>
                <w:rFonts w:ascii="Times New Roman" w:hAnsi="Times New Roman" w:cs="Times New Roman"/>
                <w:color w:val="000000"/>
                <w:sz w:val="18"/>
                <w:szCs w:val="18"/>
                <w:lang w:val="en-US"/>
              </w:rPr>
              <w:t>Property Price to Income Ratio</w:t>
            </w:r>
          </w:p>
        </w:tc>
        <w:tc>
          <w:tcPr>
            <w:tcW w:w="1134" w:type="dxa"/>
            <w:shd w:val="clear" w:color="auto" w:fill="FFFFFF"/>
            <w:vAlign w:val="center"/>
          </w:tcPr>
          <w:p w14:paraId="151A428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47,718</w:t>
            </w:r>
          </w:p>
        </w:tc>
        <w:tc>
          <w:tcPr>
            <w:tcW w:w="1134" w:type="dxa"/>
            <w:shd w:val="clear" w:color="auto" w:fill="FFFFFF"/>
            <w:vAlign w:val="center"/>
          </w:tcPr>
          <w:p w14:paraId="2B75F1D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49,119</w:t>
            </w:r>
          </w:p>
        </w:tc>
        <w:tc>
          <w:tcPr>
            <w:tcW w:w="1134" w:type="dxa"/>
            <w:shd w:val="clear" w:color="auto" w:fill="FFFFFF"/>
            <w:vAlign w:val="center"/>
          </w:tcPr>
          <w:p w14:paraId="66CC31B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,079</w:t>
            </w:r>
          </w:p>
        </w:tc>
        <w:tc>
          <w:tcPr>
            <w:tcW w:w="850" w:type="dxa"/>
            <w:shd w:val="clear" w:color="auto" w:fill="FFFFFF"/>
            <w:vAlign w:val="center"/>
          </w:tcPr>
          <w:p w14:paraId="429C9E3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,971</w:t>
            </w:r>
          </w:p>
        </w:tc>
        <w:tc>
          <w:tcPr>
            <w:tcW w:w="567" w:type="dxa"/>
            <w:shd w:val="clear" w:color="auto" w:fill="FFFFFF"/>
            <w:vAlign w:val="center"/>
          </w:tcPr>
          <w:p w14:paraId="0D6F52B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,333</w:t>
            </w:r>
          </w:p>
        </w:tc>
        <w:tc>
          <w:tcPr>
            <w:tcW w:w="851" w:type="dxa"/>
            <w:shd w:val="clear" w:color="auto" w:fill="FFFFFF"/>
            <w:vAlign w:val="center"/>
          </w:tcPr>
          <w:p w14:paraId="02C4238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-49,264</w:t>
            </w:r>
          </w:p>
        </w:tc>
        <w:tc>
          <w:tcPr>
            <w:tcW w:w="992" w:type="dxa"/>
            <w:shd w:val="clear" w:color="auto" w:fill="FFFFFF"/>
            <w:vAlign w:val="center"/>
          </w:tcPr>
          <w:p w14:paraId="3994842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144,700</w:t>
            </w:r>
          </w:p>
        </w:tc>
      </w:tr>
      <w:tr w:rsidR="000237B3" w:rsidRPr="00A1795E" w14:paraId="775757F9" w14:textId="77777777" w:rsidTr="00155A30">
        <w:trPr>
          <w:cantSplit/>
        </w:trPr>
        <w:tc>
          <w:tcPr>
            <w:tcW w:w="421" w:type="dxa"/>
            <w:vMerge/>
            <w:shd w:val="clear" w:color="auto" w:fill="FFFFFF"/>
          </w:tcPr>
          <w:p w14:paraId="6E5EB376"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4217A1EA"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Traffic Commute Time Index</w:t>
            </w:r>
          </w:p>
        </w:tc>
        <w:tc>
          <w:tcPr>
            <w:tcW w:w="1134" w:type="dxa"/>
            <w:shd w:val="clear" w:color="auto" w:fill="FFFFFF"/>
            <w:vAlign w:val="center"/>
          </w:tcPr>
          <w:p w14:paraId="1FAB652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161,674</w:t>
            </w:r>
          </w:p>
        </w:tc>
        <w:tc>
          <w:tcPr>
            <w:tcW w:w="1134" w:type="dxa"/>
            <w:shd w:val="clear" w:color="auto" w:fill="FFFFFF"/>
            <w:vAlign w:val="center"/>
          </w:tcPr>
          <w:p w14:paraId="0D54462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49,004</w:t>
            </w:r>
          </w:p>
        </w:tc>
        <w:tc>
          <w:tcPr>
            <w:tcW w:w="1134" w:type="dxa"/>
            <w:shd w:val="clear" w:color="auto" w:fill="FFFFFF"/>
            <w:vAlign w:val="center"/>
          </w:tcPr>
          <w:p w14:paraId="7514673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,262</w:t>
            </w:r>
          </w:p>
        </w:tc>
        <w:tc>
          <w:tcPr>
            <w:tcW w:w="850" w:type="dxa"/>
            <w:shd w:val="clear" w:color="auto" w:fill="FFFFFF"/>
            <w:vAlign w:val="center"/>
          </w:tcPr>
          <w:p w14:paraId="2AC7838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3,299</w:t>
            </w:r>
          </w:p>
        </w:tc>
        <w:tc>
          <w:tcPr>
            <w:tcW w:w="567" w:type="dxa"/>
            <w:shd w:val="clear" w:color="auto" w:fill="FFFFFF"/>
            <w:vAlign w:val="center"/>
          </w:tcPr>
          <w:p w14:paraId="430E1C9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,001</w:t>
            </w:r>
          </w:p>
        </w:tc>
        <w:tc>
          <w:tcPr>
            <w:tcW w:w="851" w:type="dxa"/>
            <w:shd w:val="clear" w:color="auto" w:fill="FFFFFF"/>
            <w:vAlign w:val="center"/>
          </w:tcPr>
          <w:p w14:paraId="0F6B0C4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64,917</w:t>
            </w:r>
          </w:p>
        </w:tc>
        <w:tc>
          <w:tcPr>
            <w:tcW w:w="992" w:type="dxa"/>
            <w:shd w:val="clear" w:color="auto" w:fill="FFFFFF"/>
            <w:vAlign w:val="center"/>
          </w:tcPr>
          <w:p w14:paraId="18C276E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258,430</w:t>
            </w:r>
          </w:p>
        </w:tc>
      </w:tr>
      <w:tr w:rsidR="000237B3" w:rsidRPr="00A1795E" w14:paraId="01879855" w14:textId="77777777" w:rsidTr="00155A30">
        <w:trPr>
          <w:cantSplit/>
        </w:trPr>
        <w:tc>
          <w:tcPr>
            <w:tcW w:w="421" w:type="dxa"/>
            <w:vMerge/>
            <w:shd w:val="clear" w:color="auto" w:fill="FFFFFF"/>
          </w:tcPr>
          <w:p w14:paraId="6CD6DB2C"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09A32099"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Pollution Index</w:t>
            </w:r>
          </w:p>
        </w:tc>
        <w:tc>
          <w:tcPr>
            <w:tcW w:w="1134" w:type="dxa"/>
            <w:shd w:val="clear" w:color="auto" w:fill="FFFFFF"/>
            <w:vAlign w:val="center"/>
          </w:tcPr>
          <w:p w14:paraId="5226399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64,989</w:t>
            </w:r>
          </w:p>
        </w:tc>
        <w:tc>
          <w:tcPr>
            <w:tcW w:w="1134" w:type="dxa"/>
            <w:shd w:val="clear" w:color="auto" w:fill="FFFFFF"/>
            <w:vAlign w:val="center"/>
          </w:tcPr>
          <w:p w14:paraId="1F7B3B0E"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24,034</w:t>
            </w:r>
          </w:p>
        </w:tc>
        <w:tc>
          <w:tcPr>
            <w:tcW w:w="1134" w:type="dxa"/>
            <w:shd w:val="clear" w:color="auto" w:fill="FFFFFF"/>
            <w:vAlign w:val="center"/>
          </w:tcPr>
          <w:p w14:paraId="5595579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,270</w:t>
            </w:r>
          </w:p>
        </w:tc>
        <w:tc>
          <w:tcPr>
            <w:tcW w:w="850" w:type="dxa"/>
            <w:shd w:val="clear" w:color="auto" w:fill="FFFFFF"/>
            <w:vAlign w:val="center"/>
          </w:tcPr>
          <w:p w14:paraId="5D4DE49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2,704</w:t>
            </w:r>
          </w:p>
        </w:tc>
        <w:tc>
          <w:tcPr>
            <w:tcW w:w="567" w:type="dxa"/>
            <w:shd w:val="clear" w:color="auto" w:fill="FFFFFF"/>
            <w:vAlign w:val="center"/>
          </w:tcPr>
          <w:p w14:paraId="1048540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,008</w:t>
            </w:r>
          </w:p>
        </w:tc>
        <w:tc>
          <w:tcPr>
            <w:tcW w:w="851" w:type="dxa"/>
            <w:shd w:val="clear" w:color="auto" w:fill="FFFFFF"/>
            <w:vAlign w:val="center"/>
          </w:tcPr>
          <w:p w14:paraId="41CD113F"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17,535</w:t>
            </w:r>
          </w:p>
        </w:tc>
        <w:tc>
          <w:tcPr>
            <w:tcW w:w="992" w:type="dxa"/>
            <w:shd w:val="clear" w:color="auto" w:fill="FFFFFF"/>
            <w:vAlign w:val="center"/>
          </w:tcPr>
          <w:p w14:paraId="731B834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112,442</w:t>
            </w:r>
          </w:p>
        </w:tc>
      </w:tr>
      <w:tr w:rsidR="000237B3" w:rsidRPr="00A1795E" w14:paraId="7FFF93C8" w14:textId="77777777" w:rsidTr="00155A30">
        <w:trPr>
          <w:cantSplit/>
        </w:trPr>
        <w:tc>
          <w:tcPr>
            <w:tcW w:w="421" w:type="dxa"/>
            <w:vMerge/>
            <w:shd w:val="clear" w:color="auto" w:fill="FFFFFF"/>
          </w:tcPr>
          <w:p w14:paraId="49EB9313"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6D762175"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Climate Index</w:t>
            </w:r>
          </w:p>
        </w:tc>
        <w:tc>
          <w:tcPr>
            <w:tcW w:w="1134" w:type="dxa"/>
            <w:shd w:val="clear" w:color="auto" w:fill="FFFFFF"/>
            <w:vAlign w:val="center"/>
          </w:tcPr>
          <w:p w14:paraId="67EE7DD6"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3,580</w:t>
            </w:r>
          </w:p>
        </w:tc>
        <w:tc>
          <w:tcPr>
            <w:tcW w:w="1134" w:type="dxa"/>
            <w:shd w:val="clear" w:color="auto" w:fill="FFFFFF"/>
            <w:vAlign w:val="center"/>
          </w:tcPr>
          <w:p w14:paraId="435E702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21,656</w:t>
            </w:r>
          </w:p>
        </w:tc>
        <w:tc>
          <w:tcPr>
            <w:tcW w:w="1134" w:type="dxa"/>
            <w:shd w:val="clear" w:color="auto" w:fill="FFFFFF"/>
            <w:vAlign w:val="center"/>
          </w:tcPr>
          <w:p w14:paraId="19017A36"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,011</w:t>
            </w:r>
          </w:p>
        </w:tc>
        <w:tc>
          <w:tcPr>
            <w:tcW w:w="850" w:type="dxa"/>
            <w:shd w:val="clear" w:color="auto" w:fill="FFFFFF"/>
            <w:vAlign w:val="center"/>
          </w:tcPr>
          <w:p w14:paraId="68BA2EA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,165</w:t>
            </w:r>
          </w:p>
        </w:tc>
        <w:tc>
          <w:tcPr>
            <w:tcW w:w="567" w:type="dxa"/>
            <w:shd w:val="clear" w:color="auto" w:fill="FFFFFF"/>
            <w:vAlign w:val="center"/>
          </w:tcPr>
          <w:p w14:paraId="499B952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,869</w:t>
            </w:r>
          </w:p>
        </w:tc>
        <w:tc>
          <w:tcPr>
            <w:tcW w:w="851" w:type="dxa"/>
            <w:shd w:val="clear" w:color="auto" w:fill="FFFFFF"/>
            <w:vAlign w:val="center"/>
          </w:tcPr>
          <w:p w14:paraId="70B4E72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-39,179</w:t>
            </w:r>
          </w:p>
        </w:tc>
        <w:tc>
          <w:tcPr>
            <w:tcW w:w="992" w:type="dxa"/>
            <w:shd w:val="clear" w:color="auto" w:fill="FFFFFF"/>
            <w:vAlign w:val="center"/>
          </w:tcPr>
          <w:p w14:paraId="6713DC8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46,338</w:t>
            </w:r>
          </w:p>
        </w:tc>
      </w:tr>
      <w:tr w:rsidR="000237B3" w:rsidRPr="00A1795E" w14:paraId="2E59C030" w14:textId="77777777" w:rsidTr="00155A30">
        <w:trPr>
          <w:cantSplit/>
        </w:trPr>
        <w:tc>
          <w:tcPr>
            <w:tcW w:w="421" w:type="dxa"/>
            <w:vMerge w:val="restart"/>
            <w:shd w:val="clear" w:color="auto" w:fill="FFFFFF"/>
          </w:tcPr>
          <w:p w14:paraId="0AD56C13"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2</w:t>
            </w:r>
          </w:p>
        </w:tc>
        <w:tc>
          <w:tcPr>
            <w:tcW w:w="1559" w:type="dxa"/>
            <w:shd w:val="clear" w:color="auto" w:fill="FFFFFF"/>
          </w:tcPr>
          <w:p w14:paraId="389FD7AA"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(Constante)</w:t>
            </w:r>
          </w:p>
        </w:tc>
        <w:tc>
          <w:tcPr>
            <w:tcW w:w="1134" w:type="dxa"/>
            <w:shd w:val="clear" w:color="auto" w:fill="FFFFFF"/>
            <w:vAlign w:val="center"/>
          </w:tcPr>
          <w:p w14:paraId="6721688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-6316,222</w:t>
            </w:r>
          </w:p>
        </w:tc>
        <w:tc>
          <w:tcPr>
            <w:tcW w:w="1134" w:type="dxa"/>
            <w:shd w:val="clear" w:color="auto" w:fill="FFFFFF"/>
            <w:vAlign w:val="center"/>
          </w:tcPr>
          <w:p w14:paraId="07B3DFB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3940,779</w:t>
            </w:r>
          </w:p>
        </w:tc>
        <w:tc>
          <w:tcPr>
            <w:tcW w:w="1134" w:type="dxa"/>
            <w:shd w:val="clear" w:color="auto" w:fill="FFFFFF"/>
            <w:vAlign w:val="center"/>
          </w:tcPr>
          <w:p w14:paraId="1A9AD6DD" w14:textId="77777777" w:rsidR="00C67CB8" w:rsidRPr="00A5701A" w:rsidRDefault="00C67CB8" w:rsidP="00A5701A">
            <w:pPr>
              <w:autoSpaceDE w:val="0"/>
              <w:autoSpaceDN w:val="0"/>
              <w:adjustRightInd w:val="0"/>
              <w:spacing w:line="240" w:lineRule="auto"/>
              <w:jc w:val="center"/>
              <w:rPr>
                <w:rFonts w:ascii="Times New Roman" w:hAnsi="Times New Roman" w:cs="Times New Roman"/>
                <w:sz w:val="18"/>
                <w:szCs w:val="18"/>
              </w:rPr>
            </w:pPr>
          </w:p>
        </w:tc>
        <w:tc>
          <w:tcPr>
            <w:tcW w:w="850" w:type="dxa"/>
            <w:shd w:val="clear" w:color="auto" w:fill="FFFFFF"/>
            <w:vAlign w:val="center"/>
          </w:tcPr>
          <w:p w14:paraId="41318C2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-1,603</w:t>
            </w:r>
          </w:p>
        </w:tc>
        <w:tc>
          <w:tcPr>
            <w:tcW w:w="567" w:type="dxa"/>
            <w:shd w:val="clear" w:color="auto" w:fill="FFFFFF"/>
            <w:vAlign w:val="center"/>
          </w:tcPr>
          <w:p w14:paraId="24DB03B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,111</w:t>
            </w:r>
          </w:p>
        </w:tc>
        <w:tc>
          <w:tcPr>
            <w:tcW w:w="851" w:type="dxa"/>
            <w:shd w:val="clear" w:color="auto" w:fill="FFFFFF"/>
            <w:vAlign w:val="center"/>
          </w:tcPr>
          <w:p w14:paraId="012A893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-14096,729</w:t>
            </w:r>
          </w:p>
        </w:tc>
        <w:tc>
          <w:tcPr>
            <w:tcW w:w="992" w:type="dxa"/>
            <w:shd w:val="clear" w:color="auto" w:fill="FFFFFF"/>
            <w:vAlign w:val="center"/>
          </w:tcPr>
          <w:p w14:paraId="57DF58A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1464,285</w:t>
            </w:r>
          </w:p>
        </w:tc>
      </w:tr>
      <w:tr w:rsidR="000237B3" w:rsidRPr="00A1795E" w14:paraId="1653B9E3" w14:textId="77777777" w:rsidTr="00155A30">
        <w:trPr>
          <w:cantSplit/>
        </w:trPr>
        <w:tc>
          <w:tcPr>
            <w:tcW w:w="421" w:type="dxa"/>
            <w:vMerge/>
            <w:shd w:val="clear" w:color="auto" w:fill="FFFFFF"/>
          </w:tcPr>
          <w:p w14:paraId="442EC07D"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509B4716"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Purchasing Power Index</w:t>
            </w:r>
          </w:p>
        </w:tc>
        <w:tc>
          <w:tcPr>
            <w:tcW w:w="1134" w:type="dxa"/>
            <w:shd w:val="clear" w:color="auto" w:fill="FFFFFF"/>
            <w:vAlign w:val="center"/>
          </w:tcPr>
          <w:p w14:paraId="7003025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-16,340</w:t>
            </w:r>
          </w:p>
        </w:tc>
        <w:tc>
          <w:tcPr>
            <w:tcW w:w="1134" w:type="dxa"/>
            <w:shd w:val="clear" w:color="auto" w:fill="FFFFFF"/>
            <w:vAlign w:val="center"/>
          </w:tcPr>
          <w:p w14:paraId="3E7E8EC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15,300</w:t>
            </w:r>
          </w:p>
        </w:tc>
        <w:tc>
          <w:tcPr>
            <w:tcW w:w="1134" w:type="dxa"/>
            <w:shd w:val="clear" w:color="auto" w:fill="FFFFFF"/>
            <w:vAlign w:val="center"/>
          </w:tcPr>
          <w:p w14:paraId="1838AF8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-,110</w:t>
            </w:r>
          </w:p>
        </w:tc>
        <w:tc>
          <w:tcPr>
            <w:tcW w:w="850" w:type="dxa"/>
            <w:shd w:val="clear" w:color="auto" w:fill="FFFFFF"/>
            <w:vAlign w:val="center"/>
          </w:tcPr>
          <w:p w14:paraId="51B2A73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-1,068</w:t>
            </w:r>
          </w:p>
        </w:tc>
        <w:tc>
          <w:tcPr>
            <w:tcW w:w="567" w:type="dxa"/>
            <w:shd w:val="clear" w:color="auto" w:fill="FFFFFF"/>
            <w:vAlign w:val="center"/>
          </w:tcPr>
          <w:p w14:paraId="4DC57BF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,287</w:t>
            </w:r>
          </w:p>
        </w:tc>
        <w:tc>
          <w:tcPr>
            <w:tcW w:w="851" w:type="dxa"/>
            <w:shd w:val="clear" w:color="auto" w:fill="FFFFFF"/>
            <w:vAlign w:val="center"/>
          </w:tcPr>
          <w:p w14:paraId="2C307E4E"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-46,549</w:t>
            </w:r>
          </w:p>
        </w:tc>
        <w:tc>
          <w:tcPr>
            <w:tcW w:w="992" w:type="dxa"/>
            <w:shd w:val="clear" w:color="auto" w:fill="FFFFFF"/>
            <w:vAlign w:val="center"/>
          </w:tcPr>
          <w:p w14:paraId="5B6A413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13,868</w:t>
            </w:r>
          </w:p>
        </w:tc>
      </w:tr>
      <w:tr w:rsidR="000237B3" w:rsidRPr="00A1795E" w14:paraId="1B9A40EC" w14:textId="77777777" w:rsidTr="00155A30">
        <w:trPr>
          <w:cantSplit/>
        </w:trPr>
        <w:tc>
          <w:tcPr>
            <w:tcW w:w="421" w:type="dxa"/>
            <w:vMerge/>
            <w:shd w:val="clear" w:color="auto" w:fill="FFFFFF"/>
          </w:tcPr>
          <w:p w14:paraId="250EFF13"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4B5C4BED"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Safety Index</w:t>
            </w:r>
          </w:p>
        </w:tc>
        <w:tc>
          <w:tcPr>
            <w:tcW w:w="1134" w:type="dxa"/>
            <w:shd w:val="clear" w:color="auto" w:fill="FFFFFF"/>
            <w:vAlign w:val="center"/>
          </w:tcPr>
          <w:p w14:paraId="2ED99CA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56,790</w:t>
            </w:r>
          </w:p>
        </w:tc>
        <w:tc>
          <w:tcPr>
            <w:tcW w:w="1134" w:type="dxa"/>
            <w:shd w:val="clear" w:color="auto" w:fill="FFFFFF"/>
            <w:vAlign w:val="center"/>
          </w:tcPr>
          <w:p w14:paraId="6D5AF56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27,569</w:t>
            </w:r>
          </w:p>
        </w:tc>
        <w:tc>
          <w:tcPr>
            <w:tcW w:w="1134" w:type="dxa"/>
            <w:shd w:val="clear" w:color="auto" w:fill="FFFFFF"/>
            <w:vAlign w:val="center"/>
          </w:tcPr>
          <w:p w14:paraId="55844DBF"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,157</w:t>
            </w:r>
          </w:p>
        </w:tc>
        <w:tc>
          <w:tcPr>
            <w:tcW w:w="850" w:type="dxa"/>
            <w:shd w:val="clear" w:color="auto" w:fill="FFFFFF"/>
            <w:vAlign w:val="center"/>
          </w:tcPr>
          <w:p w14:paraId="4FA78B8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2,060</w:t>
            </w:r>
          </w:p>
        </w:tc>
        <w:tc>
          <w:tcPr>
            <w:tcW w:w="567" w:type="dxa"/>
            <w:shd w:val="clear" w:color="auto" w:fill="FFFFFF"/>
            <w:vAlign w:val="center"/>
          </w:tcPr>
          <w:p w14:paraId="69A1810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,041</w:t>
            </w:r>
          </w:p>
        </w:tc>
        <w:tc>
          <w:tcPr>
            <w:tcW w:w="851" w:type="dxa"/>
            <w:shd w:val="clear" w:color="auto" w:fill="FFFFFF"/>
            <w:vAlign w:val="center"/>
          </w:tcPr>
          <w:p w14:paraId="73DFDD7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2,359</w:t>
            </w:r>
          </w:p>
        </w:tc>
        <w:tc>
          <w:tcPr>
            <w:tcW w:w="992" w:type="dxa"/>
            <w:shd w:val="clear" w:color="auto" w:fill="FFFFFF"/>
            <w:vAlign w:val="center"/>
          </w:tcPr>
          <w:p w14:paraId="6E3FAB4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111,222</w:t>
            </w:r>
          </w:p>
        </w:tc>
      </w:tr>
      <w:tr w:rsidR="000237B3" w:rsidRPr="00A1795E" w14:paraId="74A69C98" w14:textId="77777777" w:rsidTr="00155A30">
        <w:trPr>
          <w:cantSplit/>
        </w:trPr>
        <w:tc>
          <w:tcPr>
            <w:tcW w:w="421" w:type="dxa"/>
            <w:vMerge/>
            <w:shd w:val="clear" w:color="auto" w:fill="FFFFFF"/>
          </w:tcPr>
          <w:p w14:paraId="07B962E6"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6E13B7C4"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Health Care Index</w:t>
            </w:r>
          </w:p>
        </w:tc>
        <w:tc>
          <w:tcPr>
            <w:tcW w:w="1134" w:type="dxa"/>
            <w:shd w:val="clear" w:color="auto" w:fill="FFFFFF"/>
            <w:vAlign w:val="center"/>
          </w:tcPr>
          <w:p w14:paraId="057DCC7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20,863</w:t>
            </w:r>
          </w:p>
        </w:tc>
        <w:tc>
          <w:tcPr>
            <w:tcW w:w="1134" w:type="dxa"/>
            <w:shd w:val="clear" w:color="auto" w:fill="FFFFFF"/>
            <w:vAlign w:val="center"/>
          </w:tcPr>
          <w:p w14:paraId="4619F19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43,359</w:t>
            </w:r>
          </w:p>
        </w:tc>
        <w:tc>
          <w:tcPr>
            <w:tcW w:w="1134" w:type="dxa"/>
            <w:shd w:val="clear" w:color="auto" w:fill="FFFFFF"/>
            <w:vAlign w:val="center"/>
          </w:tcPr>
          <w:p w14:paraId="6C55C0B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,037</w:t>
            </w:r>
          </w:p>
        </w:tc>
        <w:tc>
          <w:tcPr>
            <w:tcW w:w="850" w:type="dxa"/>
            <w:shd w:val="clear" w:color="auto" w:fill="FFFFFF"/>
            <w:vAlign w:val="center"/>
          </w:tcPr>
          <w:p w14:paraId="30CFE3CF"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,481</w:t>
            </w:r>
          </w:p>
        </w:tc>
        <w:tc>
          <w:tcPr>
            <w:tcW w:w="567" w:type="dxa"/>
            <w:shd w:val="clear" w:color="auto" w:fill="FFFFFF"/>
            <w:vAlign w:val="center"/>
          </w:tcPr>
          <w:p w14:paraId="32634B4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,631</w:t>
            </w:r>
          </w:p>
        </w:tc>
        <w:tc>
          <w:tcPr>
            <w:tcW w:w="851" w:type="dxa"/>
            <w:shd w:val="clear" w:color="auto" w:fill="FFFFFF"/>
            <w:vAlign w:val="center"/>
          </w:tcPr>
          <w:p w14:paraId="264AA1EE"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-64,742</w:t>
            </w:r>
          </w:p>
        </w:tc>
        <w:tc>
          <w:tcPr>
            <w:tcW w:w="992" w:type="dxa"/>
            <w:shd w:val="clear" w:color="auto" w:fill="FFFFFF"/>
            <w:vAlign w:val="center"/>
          </w:tcPr>
          <w:p w14:paraId="1832EC7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106,469</w:t>
            </w:r>
          </w:p>
        </w:tc>
      </w:tr>
      <w:tr w:rsidR="000237B3" w:rsidRPr="00155A30" w14:paraId="6D290213" w14:textId="77777777" w:rsidTr="00155A30">
        <w:trPr>
          <w:cantSplit/>
        </w:trPr>
        <w:tc>
          <w:tcPr>
            <w:tcW w:w="421" w:type="dxa"/>
            <w:vMerge/>
            <w:shd w:val="clear" w:color="auto" w:fill="FFFFFF"/>
          </w:tcPr>
          <w:p w14:paraId="36D26DBA"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41C851CF"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Cost of Living Index</w:t>
            </w:r>
          </w:p>
        </w:tc>
        <w:tc>
          <w:tcPr>
            <w:tcW w:w="1134" w:type="dxa"/>
            <w:shd w:val="clear" w:color="auto" w:fill="FFFFFF"/>
            <w:vAlign w:val="center"/>
          </w:tcPr>
          <w:p w14:paraId="3CF758D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-33,437</w:t>
            </w:r>
          </w:p>
        </w:tc>
        <w:tc>
          <w:tcPr>
            <w:tcW w:w="1134" w:type="dxa"/>
            <w:shd w:val="clear" w:color="auto" w:fill="FFFFFF"/>
            <w:vAlign w:val="center"/>
          </w:tcPr>
          <w:p w14:paraId="7818773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22,796</w:t>
            </w:r>
          </w:p>
        </w:tc>
        <w:tc>
          <w:tcPr>
            <w:tcW w:w="1134" w:type="dxa"/>
            <w:shd w:val="clear" w:color="auto" w:fill="FFFFFF"/>
            <w:vAlign w:val="center"/>
          </w:tcPr>
          <w:p w14:paraId="5DA15E0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-,141</w:t>
            </w:r>
          </w:p>
        </w:tc>
        <w:tc>
          <w:tcPr>
            <w:tcW w:w="850" w:type="dxa"/>
            <w:shd w:val="clear" w:color="auto" w:fill="FFFFFF"/>
            <w:vAlign w:val="center"/>
          </w:tcPr>
          <w:p w14:paraId="12A11A7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-1,467</w:t>
            </w:r>
          </w:p>
        </w:tc>
        <w:tc>
          <w:tcPr>
            <w:tcW w:w="567" w:type="dxa"/>
            <w:shd w:val="clear" w:color="auto" w:fill="FFFFFF"/>
            <w:vAlign w:val="center"/>
          </w:tcPr>
          <w:p w14:paraId="498144F6"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,144</w:t>
            </w:r>
          </w:p>
        </w:tc>
        <w:tc>
          <w:tcPr>
            <w:tcW w:w="851" w:type="dxa"/>
            <w:shd w:val="clear" w:color="auto" w:fill="FFFFFF"/>
            <w:vAlign w:val="center"/>
          </w:tcPr>
          <w:p w14:paraId="7F3F634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-78,443</w:t>
            </w:r>
          </w:p>
        </w:tc>
        <w:tc>
          <w:tcPr>
            <w:tcW w:w="992" w:type="dxa"/>
            <w:shd w:val="clear" w:color="auto" w:fill="FFFFFF"/>
            <w:vAlign w:val="center"/>
          </w:tcPr>
          <w:p w14:paraId="3DCFEFA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11,570</w:t>
            </w:r>
          </w:p>
        </w:tc>
      </w:tr>
      <w:tr w:rsidR="000237B3" w:rsidRPr="00155A30" w14:paraId="5117AE14" w14:textId="77777777" w:rsidTr="00155A30">
        <w:trPr>
          <w:cantSplit/>
        </w:trPr>
        <w:tc>
          <w:tcPr>
            <w:tcW w:w="421" w:type="dxa"/>
            <w:vMerge/>
            <w:shd w:val="clear" w:color="auto" w:fill="FFFFFF"/>
          </w:tcPr>
          <w:p w14:paraId="59418624"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41C3FB01"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lang w:val="en-US"/>
              </w:rPr>
            </w:pPr>
            <w:r w:rsidRPr="00A5701A">
              <w:rPr>
                <w:rFonts w:ascii="Times New Roman" w:hAnsi="Times New Roman" w:cs="Times New Roman"/>
                <w:color w:val="000000"/>
                <w:sz w:val="18"/>
                <w:szCs w:val="18"/>
                <w:lang w:val="en-US"/>
              </w:rPr>
              <w:t>Property Price to Income Ratio</w:t>
            </w:r>
          </w:p>
        </w:tc>
        <w:tc>
          <w:tcPr>
            <w:tcW w:w="1134" w:type="dxa"/>
            <w:shd w:val="clear" w:color="auto" w:fill="FFFFFF"/>
            <w:vAlign w:val="center"/>
          </w:tcPr>
          <w:p w14:paraId="16812CB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48,015</w:t>
            </w:r>
          </w:p>
        </w:tc>
        <w:tc>
          <w:tcPr>
            <w:tcW w:w="1134" w:type="dxa"/>
            <w:shd w:val="clear" w:color="auto" w:fill="FFFFFF"/>
            <w:vAlign w:val="center"/>
          </w:tcPr>
          <w:p w14:paraId="749DD3D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48,942</w:t>
            </w:r>
          </w:p>
        </w:tc>
        <w:tc>
          <w:tcPr>
            <w:tcW w:w="1134" w:type="dxa"/>
            <w:shd w:val="clear" w:color="auto" w:fill="FFFFFF"/>
            <w:vAlign w:val="center"/>
          </w:tcPr>
          <w:p w14:paraId="65D45A4F"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,080</w:t>
            </w:r>
          </w:p>
        </w:tc>
        <w:tc>
          <w:tcPr>
            <w:tcW w:w="850" w:type="dxa"/>
            <w:shd w:val="clear" w:color="auto" w:fill="FFFFFF"/>
            <w:vAlign w:val="center"/>
          </w:tcPr>
          <w:p w14:paraId="1E9970E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,981</w:t>
            </w:r>
          </w:p>
        </w:tc>
        <w:tc>
          <w:tcPr>
            <w:tcW w:w="567" w:type="dxa"/>
            <w:shd w:val="clear" w:color="auto" w:fill="FFFFFF"/>
            <w:vAlign w:val="center"/>
          </w:tcPr>
          <w:p w14:paraId="7F8E00F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,328</w:t>
            </w:r>
          </w:p>
        </w:tc>
        <w:tc>
          <w:tcPr>
            <w:tcW w:w="851" w:type="dxa"/>
            <w:shd w:val="clear" w:color="auto" w:fill="FFFFFF"/>
            <w:vAlign w:val="center"/>
          </w:tcPr>
          <w:p w14:paraId="05C8383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-48,614</w:t>
            </w:r>
          </w:p>
        </w:tc>
        <w:tc>
          <w:tcPr>
            <w:tcW w:w="992" w:type="dxa"/>
            <w:shd w:val="clear" w:color="auto" w:fill="FFFFFF"/>
            <w:vAlign w:val="center"/>
          </w:tcPr>
          <w:p w14:paraId="6D221F4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144,643</w:t>
            </w:r>
          </w:p>
        </w:tc>
      </w:tr>
      <w:tr w:rsidR="000237B3" w:rsidRPr="00155A30" w14:paraId="2F413FE5" w14:textId="77777777" w:rsidTr="00155A30">
        <w:trPr>
          <w:cantSplit/>
        </w:trPr>
        <w:tc>
          <w:tcPr>
            <w:tcW w:w="421" w:type="dxa"/>
            <w:vMerge/>
            <w:shd w:val="clear" w:color="auto" w:fill="FFFFFF"/>
          </w:tcPr>
          <w:p w14:paraId="147E1EB1"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456C3595"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Traffic Commute Time Index</w:t>
            </w:r>
          </w:p>
        </w:tc>
        <w:tc>
          <w:tcPr>
            <w:tcW w:w="1134" w:type="dxa"/>
            <w:shd w:val="clear" w:color="auto" w:fill="FFFFFF"/>
            <w:vAlign w:val="center"/>
          </w:tcPr>
          <w:p w14:paraId="6350615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161,728</w:t>
            </w:r>
          </w:p>
        </w:tc>
        <w:tc>
          <w:tcPr>
            <w:tcW w:w="1134" w:type="dxa"/>
            <w:shd w:val="clear" w:color="auto" w:fill="FFFFFF"/>
            <w:vAlign w:val="center"/>
          </w:tcPr>
          <w:p w14:paraId="1DB2C94E"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48,860</w:t>
            </w:r>
          </w:p>
        </w:tc>
        <w:tc>
          <w:tcPr>
            <w:tcW w:w="1134" w:type="dxa"/>
            <w:shd w:val="clear" w:color="auto" w:fill="FFFFFF"/>
            <w:vAlign w:val="center"/>
          </w:tcPr>
          <w:p w14:paraId="6EE17D7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,262</w:t>
            </w:r>
          </w:p>
        </w:tc>
        <w:tc>
          <w:tcPr>
            <w:tcW w:w="850" w:type="dxa"/>
            <w:shd w:val="clear" w:color="auto" w:fill="FFFFFF"/>
            <w:vAlign w:val="center"/>
          </w:tcPr>
          <w:p w14:paraId="5B98218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3,310</w:t>
            </w:r>
          </w:p>
        </w:tc>
        <w:tc>
          <w:tcPr>
            <w:tcW w:w="567" w:type="dxa"/>
            <w:shd w:val="clear" w:color="auto" w:fill="FFFFFF"/>
            <w:vAlign w:val="center"/>
          </w:tcPr>
          <w:p w14:paraId="764B922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,001</w:t>
            </w:r>
          </w:p>
        </w:tc>
        <w:tc>
          <w:tcPr>
            <w:tcW w:w="851" w:type="dxa"/>
            <w:shd w:val="clear" w:color="auto" w:fill="FFFFFF"/>
            <w:vAlign w:val="center"/>
          </w:tcPr>
          <w:p w14:paraId="4C32FF5E"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65,262</w:t>
            </w:r>
          </w:p>
        </w:tc>
        <w:tc>
          <w:tcPr>
            <w:tcW w:w="992" w:type="dxa"/>
            <w:shd w:val="clear" w:color="auto" w:fill="FFFFFF"/>
            <w:vAlign w:val="center"/>
          </w:tcPr>
          <w:p w14:paraId="5B7B964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258,194</w:t>
            </w:r>
          </w:p>
        </w:tc>
      </w:tr>
      <w:tr w:rsidR="000237B3" w:rsidRPr="00155A30" w14:paraId="230F02E1" w14:textId="77777777" w:rsidTr="00155A30">
        <w:trPr>
          <w:cantSplit/>
        </w:trPr>
        <w:tc>
          <w:tcPr>
            <w:tcW w:w="421" w:type="dxa"/>
            <w:vMerge/>
            <w:shd w:val="clear" w:color="auto" w:fill="FFFFFF"/>
          </w:tcPr>
          <w:p w14:paraId="753CF1B4"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3E118B77"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Pollution Index</w:t>
            </w:r>
          </w:p>
        </w:tc>
        <w:tc>
          <w:tcPr>
            <w:tcW w:w="1134" w:type="dxa"/>
            <w:shd w:val="clear" w:color="auto" w:fill="FFFFFF"/>
            <w:vAlign w:val="center"/>
          </w:tcPr>
          <w:p w14:paraId="42201E7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64,567</w:t>
            </w:r>
          </w:p>
        </w:tc>
        <w:tc>
          <w:tcPr>
            <w:tcW w:w="1134" w:type="dxa"/>
            <w:shd w:val="clear" w:color="auto" w:fill="FFFFFF"/>
            <w:vAlign w:val="center"/>
          </w:tcPr>
          <w:p w14:paraId="653E551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23,828</w:t>
            </w:r>
          </w:p>
        </w:tc>
        <w:tc>
          <w:tcPr>
            <w:tcW w:w="1134" w:type="dxa"/>
            <w:shd w:val="clear" w:color="auto" w:fill="FFFFFF"/>
            <w:vAlign w:val="center"/>
          </w:tcPr>
          <w:p w14:paraId="2353F9C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,268</w:t>
            </w:r>
          </w:p>
        </w:tc>
        <w:tc>
          <w:tcPr>
            <w:tcW w:w="850" w:type="dxa"/>
            <w:shd w:val="clear" w:color="auto" w:fill="FFFFFF"/>
            <w:vAlign w:val="center"/>
          </w:tcPr>
          <w:p w14:paraId="67A107C6"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2,710</w:t>
            </w:r>
          </w:p>
        </w:tc>
        <w:tc>
          <w:tcPr>
            <w:tcW w:w="567" w:type="dxa"/>
            <w:shd w:val="clear" w:color="auto" w:fill="FFFFFF"/>
            <w:vAlign w:val="center"/>
          </w:tcPr>
          <w:p w14:paraId="27B42CA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,007</w:t>
            </w:r>
          </w:p>
        </w:tc>
        <w:tc>
          <w:tcPr>
            <w:tcW w:w="851" w:type="dxa"/>
            <w:shd w:val="clear" w:color="auto" w:fill="FFFFFF"/>
            <w:vAlign w:val="center"/>
          </w:tcPr>
          <w:p w14:paraId="4621772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17,522</w:t>
            </w:r>
          </w:p>
        </w:tc>
        <w:tc>
          <w:tcPr>
            <w:tcW w:w="992" w:type="dxa"/>
            <w:shd w:val="clear" w:color="auto" w:fill="FFFFFF"/>
            <w:vAlign w:val="center"/>
          </w:tcPr>
          <w:p w14:paraId="0CE407E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111,613</w:t>
            </w:r>
          </w:p>
        </w:tc>
      </w:tr>
      <w:tr w:rsidR="000237B3" w:rsidRPr="00155A30" w14:paraId="526B4EDD" w14:textId="77777777" w:rsidTr="00155A30">
        <w:trPr>
          <w:cantSplit/>
        </w:trPr>
        <w:tc>
          <w:tcPr>
            <w:tcW w:w="421" w:type="dxa"/>
            <w:vMerge w:val="restart"/>
            <w:shd w:val="clear" w:color="auto" w:fill="FFFFFF"/>
          </w:tcPr>
          <w:p w14:paraId="11EE37CD"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3</w:t>
            </w:r>
          </w:p>
        </w:tc>
        <w:tc>
          <w:tcPr>
            <w:tcW w:w="1559" w:type="dxa"/>
            <w:shd w:val="clear" w:color="auto" w:fill="FFFFFF"/>
          </w:tcPr>
          <w:p w14:paraId="7ADF6094"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(Constante)</w:t>
            </w:r>
          </w:p>
        </w:tc>
        <w:tc>
          <w:tcPr>
            <w:tcW w:w="1134" w:type="dxa"/>
            <w:shd w:val="clear" w:color="auto" w:fill="FFFFFF"/>
            <w:vAlign w:val="center"/>
          </w:tcPr>
          <w:p w14:paraId="6688F4F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-5397,662</w:t>
            </w:r>
          </w:p>
        </w:tc>
        <w:tc>
          <w:tcPr>
            <w:tcW w:w="1134" w:type="dxa"/>
            <w:shd w:val="clear" w:color="auto" w:fill="FFFFFF"/>
            <w:vAlign w:val="center"/>
          </w:tcPr>
          <w:p w14:paraId="2F29A00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3439,590</w:t>
            </w:r>
          </w:p>
        </w:tc>
        <w:tc>
          <w:tcPr>
            <w:tcW w:w="1134" w:type="dxa"/>
            <w:shd w:val="clear" w:color="auto" w:fill="FFFFFF"/>
            <w:vAlign w:val="center"/>
          </w:tcPr>
          <w:p w14:paraId="6AED54FB" w14:textId="77777777" w:rsidR="00C67CB8" w:rsidRPr="00A5701A" w:rsidRDefault="00C67CB8" w:rsidP="00A5701A">
            <w:pPr>
              <w:autoSpaceDE w:val="0"/>
              <w:autoSpaceDN w:val="0"/>
              <w:adjustRightInd w:val="0"/>
              <w:spacing w:line="240" w:lineRule="auto"/>
              <w:jc w:val="center"/>
              <w:rPr>
                <w:rFonts w:ascii="Times New Roman" w:hAnsi="Times New Roman" w:cs="Times New Roman"/>
                <w:sz w:val="18"/>
                <w:szCs w:val="18"/>
              </w:rPr>
            </w:pPr>
          </w:p>
        </w:tc>
        <w:tc>
          <w:tcPr>
            <w:tcW w:w="850" w:type="dxa"/>
            <w:shd w:val="clear" w:color="auto" w:fill="FFFFFF"/>
            <w:vAlign w:val="center"/>
          </w:tcPr>
          <w:p w14:paraId="2DE2079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-1,569</w:t>
            </w:r>
          </w:p>
        </w:tc>
        <w:tc>
          <w:tcPr>
            <w:tcW w:w="567" w:type="dxa"/>
            <w:shd w:val="clear" w:color="auto" w:fill="FFFFFF"/>
            <w:vAlign w:val="center"/>
          </w:tcPr>
          <w:p w14:paraId="534AD13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,118</w:t>
            </w:r>
          </w:p>
        </w:tc>
        <w:tc>
          <w:tcPr>
            <w:tcW w:w="851" w:type="dxa"/>
            <w:shd w:val="clear" w:color="auto" w:fill="FFFFFF"/>
            <w:vAlign w:val="center"/>
          </w:tcPr>
          <w:p w14:paraId="7848701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-12188,344</w:t>
            </w:r>
          </w:p>
        </w:tc>
        <w:tc>
          <w:tcPr>
            <w:tcW w:w="992" w:type="dxa"/>
            <w:shd w:val="clear" w:color="auto" w:fill="FFFFFF"/>
            <w:vAlign w:val="center"/>
          </w:tcPr>
          <w:p w14:paraId="0E00DEA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1393,021</w:t>
            </w:r>
          </w:p>
        </w:tc>
      </w:tr>
      <w:tr w:rsidR="000237B3" w:rsidRPr="00155A30" w14:paraId="52FA4BEF" w14:textId="77777777" w:rsidTr="00155A30">
        <w:trPr>
          <w:cantSplit/>
        </w:trPr>
        <w:tc>
          <w:tcPr>
            <w:tcW w:w="421" w:type="dxa"/>
            <w:vMerge/>
            <w:shd w:val="clear" w:color="auto" w:fill="FFFFFF"/>
          </w:tcPr>
          <w:p w14:paraId="79BD6114"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71423293"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Purchasing Power Index</w:t>
            </w:r>
          </w:p>
        </w:tc>
        <w:tc>
          <w:tcPr>
            <w:tcW w:w="1134" w:type="dxa"/>
            <w:shd w:val="clear" w:color="auto" w:fill="FFFFFF"/>
            <w:vAlign w:val="center"/>
          </w:tcPr>
          <w:p w14:paraId="139B2A6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-14,322</w:t>
            </w:r>
          </w:p>
        </w:tc>
        <w:tc>
          <w:tcPr>
            <w:tcW w:w="1134" w:type="dxa"/>
            <w:shd w:val="clear" w:color="auto" w:fill="FFFFFF"/>
            <w:vAlign w:val="center"/>
          </w:tcPr>
          <w:p w14:paraId="42B6E57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14,680</w:t>
            </w:r>
          </w:p>
        </w:tc>
        <w:tc>
          <w:tcPr>
            <w:tcW w:w="1134" w:type="dxa"/>
            <w:shd w:val="clear" w:color="auto" w:fill="FFFFFF"/>
            <w:vAlign w:val="center"/>
          </w:tcPr>
          <w:p w14:paraId="7D8E18F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-,096</w:t>
            </w:r>
          </w:p>
        </w:tc>
        <w:tc>
          <w:tcPr>
            <w:tcW w:w="850" w:type="dxa"/>
            <w:shd w:val="clear" w:color="auto" w:fill="FFFFFF"/>
            <w:vAlign w:val="center"/>
          </w:tcPr>
          <w:p w14:paraId="4F5FA20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-,976</w:t>
            </w:r>
          </w:p>
        </w:tc>
        <w:tc>
          <w:tcPr>
            <w:tcW w:w="567" w:type="dxa"/>
            <w:shd w:val="clear" w:color="auto" w:fill="FFFFFF"/>
            <w:vAlign w:val="center"/>
          </w:tcPr>
          <w:p w14:paraId="22D8B81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,331</w:t>
            </w:r>
          </w:p>
        </w:tc>
        <w:tc>
          <w:tcPr>
            <w:tcW w:w="851" w:type="dxa"/>
            <w:shd w:val="clear" w:color="auto" w:fill="FFFFFF"/>
            <w:vAlign w:val="center"/>
          </w:tcPr>
          <w:p w14:paraId="6F1B55B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-43,304</w:t>
            </w:r>
          </w:p>
        </w:tc>
        <w:tc>
          <w:tcPr>
            <w:tcW w:w="992" w:type="dxa"/>
            <w:shd w:val="clear" w:color="auto" w:fill="FFFFFF"/>
            <w:vAlign w:val="center"/>
          </w:tcPr>
          <w:p w14:paraId="06B46E5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14,660</w:t>
            </w:r>
          </w:p>
        </w:tc>
      </w:tr>
      <w:tr w:rsidR="000237B3" w:rsidRPr="00155A30" w14:paraId="22AFF1FB" w14:textId="77777777" w:rsidTr="00155A30">
        <w:trPr>
          <w:cantSplit/>
        </w:trPr>
        <w:tc>
          <w:tcPr>
            <w:tcW w:w="421" w:type="dxa"/>
            <w:vMerge/>
            <w:shd w:val="clear" w:color="auto" w:fill="FFFFFF"/>
          </w:tcPr>
          <w:p w14:paraId="673FF679"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1BDF7A51"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Safety Index</w:t>
            </w:r>
          </w:p>
        </w:tc>
        <w:tc>
          <w:tcPr>
            <w:tcW w:w="1134" w:type="dxa"/>
            <w:shd w:val="clear" w:color="auto" w:fill="FFFFFF"/>
            <w:vAlign w:val="center"/>
          </w:tcPr>
          <w:p w14:paraId="676440A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60,122</w:t>
            </w:r>
          </w:p>
        </w:tc>
        <w:tc>
          <w:tcPr>
            <w:tcW w:w="1134" w:type="dxa"/>
            <w:shd w:val="clear" w:color="auto" w:fill="FFFFFF"/>
            <w:vAlign w:val="center"/>
          </w:tcPr>
          <w:p w14:paraId="0C112E9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26,624</w:t>
            </w:r>
          </w:p>
        </w:tc>
        <w:tc>
          <w:tcPr>
            <w:tcW w:w="1134" w:type="dxa"/>
            <w:shd w:val="clear" w:color="auto" w:fill="FFFFFF"/>
            <w:vAlign w:val="center"/>
          </w:tcPr>
          <w:p w14:paraId="0A35549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,166</w:t>
            </w:r>
          </w:p>
        </w:tc>
        <w:tc>
          <w:tcPr>
            <w:tcW w:w="850" w:type="dxa"/>
            <w:shd w:val="clear" w:color="auto" w:fill="FFFFFF"/>
            <w:vAlign w:val="center"/>
          </w:tcPr>
          <w:p w14:paraId="3AFAD06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2,258</w:t>
            </w:r>
          </w:p>
        </w:tc>
        <w:tc>
          <w:tcPr>
            <w:tcW w:w="567" w:type="dxa"/>
            <w:shd w:val="clear" w:color="auto" w:fill="FFFFFF"/>
            <w:vAlign w:val="center"/>
          </w:tcPr>
          <w:p w14:paraId="4319544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,025</w:t>
            </w:r>
          </w:p>
        </w:tc>
        <w:tc>
          <w:tcPr>
            <w:tcW w:w="851" w:type="dxa"/>
            <w:shd w:val="clear" w:color="auto" w:fill="FFFFFF"/>
            <w:vAlign w:val="center"/>
          </w:tcPr>
          <w:p w14:paraId="3DC2503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7,558</w:t>
            </w:r>
          </w:p>
        </w:tc>
        <w:tc>
          <w:tcPr>
            <w:tcW w:w="992" w:type="dxa"/>
            <w:shd w:val="clear" w:color="auto" w:fill="FFFFFF"/>
            <w:vAlign w:val="center"/>
          </w:tcPr>
          <w:p w14:paraId="628BA7C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112,685</w:t>
            </w:r>
          </w:p>
        </w:tc>
      </w:tr>
      <w:tr w:rsidR="000237B3" w:rsidRPr="00155A30" w14:paraId="4B14EF7E" w14:textId="77777777" w:rsidTr="00155A30">
        <w:trPr>
          <w:cantSplit/>
        </w:trPr>
        <w:tc>
          <w:tcPr>
            <w:tcW w:w="421" w:type="dxa"/>
            <w:vMerge/>
            <w:shd w:val="clear" w:color="auto" w:fill="FFFFFF"/>
          </w:tcPr>
          <w:p w14:paraId="52E2F39D"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67A8A82C"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Cost of Living Index</w:t>
            </w:r>
          </w:p>
        </w:tc>
        <w:tc>
          <w:tcPr>
            <w:tcW w:w="1134" w:type="dxa"/>
            <w:shd w:val="clear" w:color="auto" w:fill="FFFFFF"/>
            <w:vAlign w:val="center"/>
          </w:tcPr>
          <w:p w14:paraId="4C488D8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-32,338</w:t>
            </w:r>
          </w:p>
        </w:tc>
        <w:tc>
          <w:tcPr>
            <w:tcW w:w="1134" w:type="dxa"/>
            <w:shd w:val="clear" w:color="auto" w:fill="FFFFFF"/>
            <w:vAlign w:val="center"/>
          </w:tcPr>
          <w:p w14:paraId="166A635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22,629</w:t>
            </w:r>
          </w:p>
        </w:tc>
        <w:tc>
          <w:tcPr>
            <w:tcW w:w="1134" w:type="dxa"/>
            <w:shd w:val="clear" w:color="auto" w:fill="FFFFFF"/>
            <w:vAlign w:val="center"/>
          </w:tcPr>
          <w:p w14:paraId="0A70C3C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-,136</w:t>
            </w:r>
          </w:p>
        </w:tc>
        <w:tc>
          <w:tcPr>
            <w:tcW w:w="850" w:type="dxa"/>
            <w:shd w:val="clear" w:color="auto" w:fill="FFFFFF"/>
            <w:vAlign w:val="center"/>
          </w:tcPr>
          <w:p w14:paraId="2313DA0D"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-1,429</w:t>
            </w:r>
          </w:p>
        </w:tc>
        <w:tc>
          <w:tcPr>
            <w:tcW w:w="567" w:type="dxa"/>
            <w:shd w:val="clear" w:color="auto" w:fill="FFFFFF"/>
            <w:vAlign w:val="center"/>
          </w:tcPr>
          <w:p w14:paraId="4BA0EB0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,155</w:t>
            </w:r>
          </w:p>
        </w:tc>
        <w:tc>
          <w:tcPr>
            <w:tcW w:w="851" w:type="dxa"/>
            <w:shd w:val="clear" w:color="auto" w:fill="FFFFFF"/>
            <w:vAlign w:val="center"/>
          </w:tcPr>
          <w:p w14:paraId="77646DB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-77,013</w:t>
            </w:r>
          </w:p>
        </w:tc>
        <w:tc>
          <w:tcPr>
            <w:tcW w:w="992" w:type="dxa"/>
            <w:shd w:val="clear" w:color="auto" w:fill="FFFFFF"/>
            <w:vAlign w:val="center"/>
          </w:tcPr>
          <w:p w14:paraId="62D2C67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12,337</w:t>
            </w:r>
          </w:p>
        </w:tc>
      </w:tr>
      <w:tr w:rsidR="000237B3" w:rsidRPr="00155A30" w14:paraId="1591ECE7" w14:textId="77777777" w:rsidTr="00155A30">
        <w:trPr>
          <w:cantSplit/>
        </w:trPr>
        <w:tc>
          <w:tcPr>
            <w:tcW w:w="421" w:type="dxa"/>
            <w:vMerge/>
            <w:shd w:val="clear" w:color="auto" w:fill="FFFFFF"/>
          </w:tcPr>
          <w:p w14:paraId="7D347EF3"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61F729BC" w14:textId="77777777" w:rsidR="00C67CB8" w:rsidRPr="00A5701A" w:rsidRDefault="00C67CB8" w:rsidP="00A5701A">
            <w:pPr>
              <w:autoSpaceDE w:val="0"/>
              <w:autoSpaceDN w:val="0"/>
              <w:adjustRightInd w:val="0"/>
              <w:spacing w:line="240" w:lineRule="auto"/>
              <w:ind w:left="60" w:right="60"/>
              <w:rPr>
                <w:rFonts w:ascii="Times New Roman" w:hAnsi="Times New Roman" w:cs="Times New Roman"/>
                <w:color w:val="000000"/>
                <w:sz w:val="18"/>
                <w:szCs w:val="18"/>
                <w:lang w:val="en-US"/>
              </w:rPr>
            </w:pPr>
            <w:r w:rsidRPr="00A5701A">
              <w:rPr>
                <w:rFonts w:ascii="Times New Roman" w:hAnsi="Times New Roman" w:cs="Times New Roman"/>
                <w:color w:val="000000"/>
                <w:sz w:val="18"/>
                <w:szCs w:val="18"/>
                <w:lang w:val="en-US"/>
              </w:rPr>
              <w:t>Property Price to Income Ratio</w:t>
            </w:r>
          </w:p>
        </w:tc>
        <w:tc>
          <w:tcPr>
            <w:tcW w:w="1134" w:type="dxa"/>
            <w:shd w:val="clear" w:color="auto" w:fill="FFFFFF"/>
            <w:vAlign w:val="center"/>
          </w:tcPr>
          <w:p w14:paraId="6208FC11"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48,389</w:t>
            </w:r>
          </w:p>
        </w:tc>
        <w:tc>
          <w:tcPr>
            <w:tcW w:w="1134" w:type="dxa"/>
            <w:shd w:val="clear" w:color="auto" w:fill="FFFFFF"/>
            <w:vAlign w:val="center"/>
          </w:tcPr>
          <w:p w14:paraId="0DBB122A"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48,823</w:t>
            </w:r>
          </w:p>
        </w:tc>
        <w:tc>
          <w:tcPr>
            <w:tcW w:w="1134" w:type="dxa"/>
            <w:shd w:val="clear" w:color="auto" w:fill="FFFFFF"/>
            <w:vAlign w:val="center"/>
          </w:tcPr>
          <w:p w14:paraId="5CB47DA5"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,080</w:t>
            </w:r>
          </w:p>
        </w:tc>
        <w:tc>
          <w:tcPr>
            <w:tcW w:w="850" w:type="dxa"/>
            <w:shd w:val="clear" w:color="auto" w:fill="FFFFFF"/>
            <w:vAlign w:val="center"/>
          </w:tcPr>
          <w:p w14:paraId="1344F91D"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,991</w:t>
            </w:r>
          </w:p>
        </w:tc>
        <w:tc>
          <w:tcPr>
            <w:tcW w:w="567" w:type="dxa"/>
            <w:shd w:val="clear" w:color="auto" w:fill="FFFFFF"/>
            <w:vAlign w:val="center"/>
          </w:tcPr>
          <w:p w14:paraId="58157CAA"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,323</w:t>
            </w:r>
          </w:p>
        </w:tc>
        <w:tc>
          <w:tcPr>
            <w:tcW w:w="851" w:type="dxa"/>
            <w:shd w:val="clear" w:color="auto" w:fill="FFFFFF"/>
            <w:vAlign w:val="center"/>
          </w:tcPr>
          <w:p w14:paraId="4B5C6943"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-48,000</w:t>
            </w:r>
          </w:p>
        </w:tc>
        <w:tc>
          <w:tcPr>
            <w:tcW w:w="992" w:type="dxa"/>
            <w:shd w:val="clear" w:color="auto" w:fill="FFFFFF"/>
            <w:vAlign w:val="center"/>
          </w:tcPr>
          <w:p w14:paraId="333F1192"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144,779</w:t>
            </w:r>
          </w:p>
        </w:tc>
      </w:tr>
      <w:tr w:rsidR="000237B3" w:rsidRPr="00155A30" w14:paraId="7B9E4488" w14:textId="77777777" w:rsidTr="00155A30">
        <w:trPr>
          <w:cantSplit/>
        </w:trPr>
        <w:tc>
          <w:tcPr>
            <w:tcW w:w="421" w:type="dxa"/>
            <w:vMerge/>
            <w:shd w:val="clear" w:color="auto" w:fill="FFFFFF"/>
          </w:tcPr>
          <w:p w14:paraId="1A3A0BBF"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3FE17035" w14:textId="77777777" w:rsidR="00C67CB8" w:rsidRPr="00A5701A" w:rsidRDefault="00C67CB8" w:rsidP="00A5701A">
            <w:pPr>
              <w:autoSpaceDE w:val="0"/>
              <w:autoSpaceDN w:val="0"/>
              <w:adjustRightInd w:val="0"/>
              <w:spacing w:line="240" w:lineRule="auto"/>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Traffic Commute Time Index</w:t>
            </w:r>
          </w:p>
        </w:tc>
        <w:tc>
          <w:tcPr>
            <w:tcW w:w="1134" w:type="dxa"/>
            <w:shd w:val="clear" w:color="auto" w:fill="FFFFFF"/>
            <w:vAlign w:val="center"/>
          </w:tcPr>
          <w:p w14:paraId="469A8894"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164,313</w:t>
            </w:r>
          </w:p>
        </w:tc>
        <w:tc>
          <w:tcPr>
            <w:tcW w:w="1134" w:type="dxa"/>
            <w:shd w:val="clear" w:color="auto" w:fill="FFFFFF"/>
            <w:vAlign w:val="center"/>
          </w:tcPr>
          <w:p w14:paraId="3176821D"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48,451</w:t>
            </w:r>
          </w:p>
        </w:tc>
        <w:tc>
          <w:tcPr>
            <w:tcW w:w="1134" w:type="dxa"/>
            <w:shd w:val="clear" w:color="auto" w:fill="FFFFFF"/>
            <w:vAlign w:val="center"/>
          </w:tcPr>
          <w:p w14:paraId="2A6A5F0A"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,266</w:t>
            </w:r>
          </w:p>
        </w:tc>
        <w:tc>
          <w:tcPr>
            <w:tcW w:w="850" w:type="dxa"/>
            <w:shd w:val="clear" w:color="auto" w:fill="FFFFFF"/>
            <w:vAlign w:val="center"/>
          </w:tcPr>
          <w:p w14:paraId="4DCCC791"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3,391</w:t>
            </w:r>
          </w:p>
        </w:tc>
        <w:tc>
          <w:tcPr>
            <w:tcW w:w="567" w:type="dxa"/>
            <w:shd w:val="clear" w:color="auto" w:fill="FFFFFF"/>
            <w:vAlign w:val="center"/>
          </w:tcPr>
          <w:p w14:paraId="4410E3B6"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,001</w:t>
            </w:r>
          </w:p>
        </w:tc>
        <w:tc>
          <w:tcPr>
            <w:tcW w:w="851" w:type="dxa"/>
            <w:shd w:val="clear" w:color="auto" w:fill="FFFFFF"/>
            <w:vAlign w:val="center"/>
          </w:tcPr>
          <w:p w14:paraId="56FC9562"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68,657</w:t>
            </w:r>
          </w:p>
        </w:tc>
        <w:tc>
          <w:tcPr>
            <w:tcW w:w="992" w:type="dxa"/>
            <w:shd w:val="clear" w:color="auto" w:fill="FFFFFF"/>
            <w:vAlign w:val="center"/>
          </w:tcPr>
          <w:p w14:paraId="32FBA965"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259,969</w:t>
            </w:r>
          </w:p>
        </w:tc>
      </w:tr>
      <w:tr w:rsidR="000237B3" w:rsidRPr="00155A30" w14:paraId="2D043A6D" w14:textId="77777777" w:rsidTr="00155A30">
        <w:trPr>
          <w:cantSplit/>
        </w:trPr>
        <w:tc>
          <w:tcPr>
            <w:tcW w:w="421" w:type="dxa"/>
            <w:vMerge/>
            <w:shd w:val="clear" w:color="auto" w:fill="FFFFFF"/>
          </w:tcPr>
          <w:p w14:paraId="01B80222"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FF"/>
          </w:tcPr>
          <w:p w14:paraId="0B36750C" w14:textId="77777777" w:rsidR="00C67CB8" w:rsidRPr="00A5701A" w:rsidRDefault="00C67CB8" w:rsidP="00A5701A">
            <w:pPr>
              <w:autoSpaceDE w:val="0"/>
              <w:autoSpaceDN w:val="0"/>
              <w:adjustRightInd w:val="0"/>
              <w:spacing w:line="240" w:lineRule="auto"/>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Pollution Index</w:t>
            </w:r>
          </w:p>
        </w:tc>
        <w:tc>
          <w:tcPr>
            <w:tcW w:w="1134" w:type="dxa"/>
            <w:shd w:val="clear" w:color="auto" w:fill="FFFFFF"/>
            <w:vAlign w:val="center"/>
          </w:tcPr>
          <w:p w14:paraId="433504A9"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63,404</w:t>
            </w:r>
          </w:p>
        </w:tc>
        <w:tc>
          <w:tcPr>
            <w:tcW w:w="1134" w:type="dxa"/>
            <w:shd w:val="clear" w:color="auto" w:fill="FFFFFF"/>
            <w:vAlign w:val="center"/>
          </w:tcPr>
          <w:p w14:paraId="640093CF"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23,651</w:t>
            </w:r>
          </w:p>
        </w:tc>
        <w:tc>
          <w:tcPr>
            <w:tcW w:w="1134" w:type="dxa"/>
            <w:shd w:val="clear" w:color="auto" w:fill="FFFFFF"/>
            <w:vAlign w:val="center"/>
          </w:tcPr>
          <w:p w14:paraId="0533679C"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,263</w:t>
            </w:r>
          </w:p>
        </w:tc>
        <w:tc>
          <w:tcPr>
            <w:tcW w:w="850" w:type="dxa"/>
            <w:shd w:val="clear" w:color="auto" w:fill="FFFFFF"/>
            <w:vAlign w:val="center"/>
          </w:tcPr>
          <w:p w14:paraId="201A855E"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2,681</w:t>
            </w:r>
          </w:p>
        </w:tc>
        <w:tc>
          <w:tcPr>
            <w:tcW w:w="567" w:type="dxa"/>
            <w:shd w:val="clear" w:color="auto" w:fill="FFFFFF"/>
            <w:vAlign w:val="center"/>
          </w:tcPr>
          <w:p w14:paraId="347B3BBE"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,008</w:t>
            </w:r>
          </w:p>
        </w:tc>
        <w:tc>
          <w:tcPr>
            <w:tcW w:w="851" w:type="dxa"/>
            <w:shd w:val="clear" w:color="auto" w:fill="FFFFFF"/>
            <w:vAlign w:val="center"/>
          </w:tcPr>
          <w:p w14:paraId="76AFC4A2"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16,711</w:t>
            </w:r>
          </w:p>
        </w:tc>
        <w:tc>
          <w:tcPr>
            <w:tcW w:w="992" w:type="dxa"/>
            <w:shd w:val="clear" w:color="auto" w:fill="FFFFFF"/>
            <w:vAlign w:val="center"/>
          </w:tcPr>
          <w:p w14:paraId="5017682C" w14:textId="77777777" w:rsidR="00C67CB8" w:rsidRPr="00A5701A" w:rsidRDefault="00C67CB8" w:rsidP="00A5701A">
            <w:pPr>
              <w:autoSpaceDE w:val="0"/>
              <w:autoSpaceDN w:val="0"/>
              <w:adjustRightInd w:val="0"/>
              <w:spacing w:line="240" w:lineRule="auto"/>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110,097</w:t>
            </w:r>
          </w:p>
        </w:tc>
      </w:tr>
      <w:tr w:rsidR="000237B3" w:rsidRPr="00155A30" w14:paraId="0CC74FB6" w14:textId="77777777" w:rsidTr="00155A30">
        <w:trPr>
          <w:cantSplit/>
        </w:trPr>
        <w:tc>
          <w:tcPr>
            <w:tcW w:w="421" w:type="dxa"/>
            <w:vMerge w:val="restart"/>
            <w:shd w:val="clear" w:color="auto" w:fill="FFFFFF"/>
          </w:tcPr>
          <w:p w14:paraId="1642244B" w14:textId="77777777" w:rsidR="00C67CB8" w:rsidRPr="00A5701A" w:rsidRDefault="00C67CB8" w:rsidP="00A5701A">
            <w:pPr>
              <w:autoSpaceDE w:val="0"/>
              <w:autoSpaceDN w:val="0"/>
              <w:adjustRightInd w:val="0"/>
              <w:spacing w:line="320" w:lineRule="atLeast"/>
              <w:ind w:left="60" w:right="60"/>
              <w:rPr>
                <w:rFonts w:ascii="Times New Roman" w:hAnsi="Times New Roman" w:cs="Times New Roman"/>
                <w:color w:val="000000"/>
                <w:sz w:val="18"/>
                <w:szCs w:val="18"/>
              </w:rPr>
            </w:pPr>
            <w:r w:rsidRPr="00A5701A">
              <w:rPr>
                <w:rFonts w:ascii="Times New Roman" w:hAnsi="Times New Roman" w:cs="Times New Roman"/>
                <w:color w:val="000000"/>
                <w:sz w:val="18"/>
                <w:szCs w:val="18"/>
              </w:rPr>
              <w:t>4</w:t>
            </w:r>
          </w:p>
        </w:tc>
        <w:tc>
          <w:tcPr>
            <w:tcW w:w="1559" w:type="dxa"/>
            <w:shd w:val="clear" w:color="auto" w:fill="FFFF00"/>
          </w:tcPr>
          <w:p w14:paraId="027709AC"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(Constante)</w:t>
            </w:r>
          </w:p>
        </w:tc>
        <w:tc>
          <w:tcPr>
            <w:tcW w:w="1134" w:type="dxa"/>
            <w:shd w:val="clear" w:color="auto" w:fill="FFFFFF"/>
            <w:vAlign w:val="center"/>
          </w:tcPr>
          <w:p w14:paraId="2BBAB65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-6239,546</w:t>
            </w:r>
          </w:p>
        </w:tc>
        <w:tc>
          <w:tcPr>
            <w:tcW w:w="1134" w:type="dxa"/>
            <w:shd w:val="clear" w:color="auto" w:fill="FFFFFF"/>
            <w:vAlign w:val="center"/>
          </w:tcPr>
          <w:p w14:paraId="34F223E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3329,105</w:t>
            </w:r>
          </w:p>
        </w:tc>
        <w:tc>
          <w:tcPr>
            <w:tcW w:w="1134" w:type="dxa"/>
            <w:shd w:val="clear" w:color="auto" w:fill="FFFFFF"/>
            <w:vAlign w:val="center"/>
          </w:tcPr>
          <w:p w14:paraId="48589F99" w14:textId="77777777" w:rsidR="00C67CB8" w:rsidRPr="00A5701A" w:rsidRDefault="00C67CB8" w:rsidP="00A5701A">
            <w:pPr>
              <w:autoSpaceDE w:val="0"/>
              <w:autoSpaceDN w:val="0"/>
              <w:adjustRightInd w:val="0"/>
              <w:spacing w:line="240" w:lineRule="auto"/>
              <w:jc w:val="center"/>
              <w:rPr>
                <w:rFonts w:ascii="Times New Roman" w:hAnsi="Times New Roman" w:cs="Times New Roman"/>
                <w:sz w:val="18"/>
                <w:szCs w:val="18"/>
              </w:rPr>
            </w:pPr>
          </w:p>
        </w:tc>
        <w:tc>
          <w:tcPr>
            <w:tcW w:w="850" w:type="dxa"/>
            <w:shd w:val="clear" w:color="auto" w:fill="FFFFFF"/>
            <w:vAlign w:val="center"/>
          </w:tcPr>
          <w:p w14:paraId="0AEF976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-1,874</w:t>
            </w:r>
          </w:p>
        </w:tc>
        <w:tc>
          <w:tcPr>
            <w:tcW w:w="567" w:type="dxa"/>
            <w:shd w:val="clear" w:color="auto" w:fill="FFFFFF"/>
            <w:vAlign w:val="center"/>
          </w:tcPr>
          <w:p w14:paraId="248F6C8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,063</w:t>
            </w:r>
          </w:p>
        </w:tc>
        <w:tc>
          <w:tcPr>
            <w:tcW w:w="851" w:type="dxa"/>
            <w:shd w:val="clear" w:color="auto" w:fill="FFFFFF"/>
            <w:vAlign w:val="center"/>
          </w:tcPr>
          <w:p w14:paraId="2D4386C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-12811,815</w:t>
            </w:r>
          </w:p>
        </w:tc>
        <w:tc>
          <w:tcPr>
            <w:tcW w:w="992" w:type="dxa"/>
            <w:shd w:val="clear" w:color="auto" w:fill="FFFFFF"/>
            <w:vAlign w:val="center"/>
          </w:tcPr>
          <w:p w14:paraId="129582C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332,723</w:t>
            </w:r>
          </w:p>
        </w:tc>
      </w:tr>
      <w:tr w:rsidR="000237B3" w:rsidRPr="00155A30" w14:paraId="1A76D670" w14:textId="77777777" w:rsidTr="00155A30">
        <w:trPr>
          <w:cantSplit/>
        </w:trPr>
        <w:tc>
          <w:tcPr>
            <w:tcW w:w="421" w:type="dxa"/>
            <w:vMerge/>
            <w:shd w:val="clear" w:color="auto" w:fill="FFFFFF"/>
          </w:tcPr>
          <w:p w14:paraId="5549A1CD"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00"/>
          </w:tcPr>
          <w:p w14:paraId="04D12784"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Safety Index</w:t>
            </w:r>
          </w:p>
        </w:tc>
        <w:tc>
          <w:tcPr>
            <w:tcW w:w="1134" w:type="dxa"/>
            <w:shd w:val="clear" w:color="auto" w:fill="FFFFFF"/>
            <w:vAlign w:val="center"/>
          </w:tcPr>
          <w:p w14:paraId="66E5B7F6"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60,064</w:t>
            </w:r>
          </w:p>
        </w:tc>
        <w:tc>
          <w:tcPr>
            <w:tcW w:w="1134" w:type="dxa"/>
            <w:shd w:val="clear" w:color="auto" w:fill="FFFFFF"/>
            <w:vAlign w:val="center"/>
          </w:tcPr>
          <w:p w14:paraId="15CF3D6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26,620</w:t>
            </w:r>
          </w:p>
        </w:tc>
        <w:tc>
          <w:tcPr>
            <w:tcW w:w="1134" w:type="dxa"/>
            <w:shd w:val="clear" w:color="auto" w:fill="FFFFFF"/>
            <w:vAlign w:val="center"/>
          </w:tcPr>
          <w:p w14:paraId="4A7239A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,166</w:t>
            </w:r>
          </w:p>
        </w:tc>
        <w:tc>
          <w:tcPr>
            <w:tcW w:w="850" w:type="dxa"/>
            <w:shd w:val="clear" w:color="auto" w:fill="FFFFFF"/>
            <w:vAlign w:val="center"/>
          </w:tcPr>
          <w:p w14:paraId="1B1ABB3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2,256</w:t>
            </w:r>
          </w:p>
        </w:tc>
        <w:tc>
          <w:tcPr>
            <w:tcW w:w="567" w:type="dxa"/>
            <w:shd w:val="clear" w:color="auto" w:fill="FFFFFF"/>
            <w:vAlign w:val="center"/>
          </w:tcPr>
          <w:p w14:paraId="6B8C4CD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,025</w:t>
            </w:r>
          </w:p>
        </w:tc>
        <w:tc>
          <w:tcPr>
            <w:tcW w:w="851" w:type="dxa"/>
            <w:shd w:val="clear" w:color="auto" w:fill="FFFFFF"/>
            <w:vAlign w:val="center"/>
          </w:tcPr>
          <w:p w14:paraId="006CF8F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7,511</w:t>
            </w:r>
          </w:p>
        </w:tc>
        <w:tc>
          <w:tcPr>
            <w:tcW w:w="992" w:type="dxa"/>
            <w:shd w:val="clear" w:color="auto" w:fill="FFFFFF"/>
            <w:vAlign w:val="center"/>
          </w:tcPr>
          <w:p w14:paraId="6F974D2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112,618</w:t>
            </w:r>
          </w:p>
        </w:tc>
      </w:tr>
      <w:tr w:rsidR="000237B3" w:rsidRPr="00155A30" w14:paraId="4F9B8277" w14:textId="77777777" w:rsidTr="00155A30">
        <w:trPr>
          <w:cantSplit/>
        </w:trPr>
        <w:tc>
          <w:tcPr>
            <w:tcW w:w="421" w:type="dxa"/>
            <w:vMerge/>
            <w:shd w:val="clear" w:color="auto" w:fill="FFFFFF"/>
          </w:tcPr>
          <w:p w14:paraId="5C0D57D5"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00"/>
          </w:tcPr>
          <w:p w14:paraId="06EF7BB8"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Cost of Living Index</w:t>
            </w:r>
          </w:p>
        </w:tc>
        <w:tc>
          <w:tcPr>
            <w:tcW w:w="1134" w:type="dxa"/>
            <w:shd w:val="clear" w:color="auto" w:fill="FFFFFF"/>
            <w:vAlign w:val="center"/>
          </w:tcPr>
          <w:p w14:paraId="2C6A068E"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-43,480</w:t>
            </w:r>
          </w:p>
        </w:tc>
        <w:tc>
          <w:tcPr>
            <w:tcW w:w="1134" w:type="dxa"/>
            <w:shd w:val="clear" w:color="auto" w:fill="FFFFFF"/>
            <w:vAlign w:val="center"/>
          </w:tcPr>
          <w:p w14:paraId="7A8A3EB6"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19,532</w:t>
            </w:r>
          </w:p>
        </w:tc>
        <w:tc>
          <w:tcPr>
            <w:tcW w:w="1134" w:type="dxa"/>
            <w:shd w:val="clear" w:color="auto" w:fill="FFFFFF"/>
            <w:vAlign w:val="center"/>
          </w:tcPr>
          <w:p w14:paraId="2494D71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-,183</w:t>
            </w:r>
          </w:p>
        </w:tc>
        <w:tc>
          <w:tcPr>
            <w:tcW w:w="850" w:type="dxa"/>
            <w:shd w:val="clear" w:color="auto" w:fill="FFFFFF"/>
            <w:vAlign w:val="center"/>
          </w:tcPr>
          <w:p w14:paraId="7D0D24E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-2,226</w:t>
            </w:r>
          </w:p>
        </w:tc>
        <w:tc>
          <w:tcPr>
            <w:tcW w:w="567" w:type="dxa"/>
            <w:shd w:val="clear" w:color="auto" w:fill="FFFFFF"/>
            <w:vAlign w:val="center"/>
          </w:tcPr>
          <w:p w14:paraId="7C4DF36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,027</w:t>
            </w:r>
          </w:p>
        </w:tc>
        <w:tc>
          <w:tcPr>
            <w:tcW w:w="851" w:type="dxa"/>
            <w:shd w:val="clear" w:color="auto" w:fill="FFFFFF"/>
            <w:vAlign w:val="center"/>
          </w:tcPr>
          <w:p w14:paraId="557ED07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-82,041</w:t>
            </w:r>
          </w:p>
        </w:tc>
        <w:tc>
          <w:tcPr>
            <w:tcW w:w="992" w:type="dxa"/>
            <w:shd w:val="clear" w:color="auto" w:fill="FFFFFF"/>
            <w:vAlign w:val="center"/>
          </w:tcPr>
          <w:p w14:paraId="7D0F50C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-4,920</w:t>
            </w:r>
          </w:p>
        </w:tc>
      </w:tr>
      <w:tr w:rsidR="000237B3" w:rsidRPr="00155A30" w14:paraId="0183A2FE" w14:textId="77777777" w:rsidTr="00155A30">
        <w:trPr>
          <w:cantSplit/>
        </w:trPr>
        <w:tc>
          <w:tcPr>
            <w:tcW w:w="421" w:type="dxa"/>
            <w:vMerge/>
            <w:shd w:val="clear" w:color="auto" w:fill="FFFFFF"/>
          </w:tcPr>
          <w:p w14:paraId="1BE8FFDA"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00"/>
          </w:tcPr>
          <w:p w14:paraId="54AC01E5"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lang w:val="en-US"/>
              </w:rPr>
            </w:pPr>
            <w:r w:rsidRPr="00A5701A">
              <w:rPr>
                <w:rFonts w:ascii="Times New Roman" w:hAnsi="Times New Roman" w:cs="Times New Roman"/>
                <w:color w:val="000000"/>
                <w:sz w:val="18"/>
                <w:szCs w:val="18"/>
                <w:lang w:val="en-US"/>
              </w:rPr>
              <w:t>Property Price to Income Ratio</w:t>
            </w:r>
          </w:p>
        </w:tc>
        <w:tc>
          <w:tcPr>
            <w:tcW w:w="1134" w:type="dxa"/>
            <w:shd w:val="clear" w:color="auto" w:fill="FFFFFF"/>
            <w:vAlign w:val="center"/>
          </w:tcPr>
          <w:p w14:paraId="65D194C4"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72,338</w:t>
            </w:r>
          </w:p>
        </w:tc>
        <w:tc>
          <w:tcPr>
            <w:tcW w:w="1134" w:type="dxa"/>
            <w:shd w:val="clear" w:color="auto" w:fill="FFFFFF"/>
            <w:vAlign w:val="center"/>
          </w:tcPr>
          <w:p w14:paraId="3445169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42,197</w:t>
            </w:r>
          </w:p>
        </w:tc>
        <w:tc>
          <w:tcPr>
            <w:tcW w:w="1134" w:type="dxa"/>
            <w:shd w:val="clear" w:color="auto" w:fill="FFFFFF"/>
            <w:vAlign w:val="center"/>
          </w:tcPr>
          <w:p w14:paraId="5980949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,120</w:t>
            </w:r>
          </w:p>
        </w:tc>
        <w:tc>
          <w:tcPr>
            <w:tcW w:w="850" w:type="dxa"/>
            <w:shd w:val="clear" w:color="auto" w:fill="FFFFFF"/>
            <w:vAlign w:val="center"/>
          </w:tcPr>
          <w:p w14:paraId="34D0663A"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1,714</w:t>
            </w:r>
          </w:p>
        </w:tc>
        <w:tc>
          <w:tcPr>
            <w:tcW w:w="567" w:type="dxa"/>
            <w:shd w:val="clear" w:color="auto" w:fill="FFFFFF"/>
            <w:vAlign w:val="center"/>
          </w:tcPr>
          <w:p w14:paraId="39EE99F6"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,088</w:t>
            </w:r>
          </w:p>
        </w:tc>
        <w:tc>
          <w:tcPr>
            <w:tcW w:w="851" w:type="dxa"/>
            <w:shd w:val="clear" w:color="auto" w:fill="FFFFFF"/>
            <w:vAlign w:val="center"/>
          </w:tcPr>
          <w:p w14:paraId="1195328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-10,966</w:t>
            </w:r>
          </w:p>
        </w:tc>
        <w:tc>
          <w:tcPr>
            <w:tcW w:w="992" w:type="dxa"/>
            <w:shd w:val="clear" w:color="auto" w:fill="FFFFFF"/>
            <w:vAlign w:val="center"/>
          </w:tcPr>
          <w:p w14:paraId="23BF6B4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155,643</w:t>
            </w:r>
          </w:p>
        </w:tc>
      </w:tr>
      <w:tr w:rsidR="000237B3" w:rsidRPr="00155A30" w14:paraId="01DB1443" w14:textId="77777777" w:rsidTr="00155A30">
        <w:trPr>
          <w:cantSplit/>
        </w:trPr>
        <w:tc>
          <w:tcPr>
            <w:tcW w:w="421" w:type="dxa"/>
            <w:vMerge/>
            <w:shd w:val="clear" w:color="auto" w:fill="FFFFFF"/>
          </w:tcPr>
          <w:p w14:paraId="3210AB16"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00"/>
          </w:tcPr>
          <w:p w14:paraId="44804967"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Traffic Commute Time Index</w:t>
            </w:r>
          </w:p>
        </w:tc>
        <w:tc>
          <w:tcPr>
            <w:tcW w:w="1134" w:type="dxa"/>
            <w:shd w:val="clear" w:color="auto" w:fill="FFFFFF"/>
            <w:vAlign w:val="center"/>
          </w:tcPr>
          <w:p w14:paraId="088CD4A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160,196</w:t>
            </w:r>
          </w:p>
        </w:tc>
        <w:tc>
          <w:tcPr>
            <w:tcW w:w="1134" w:type="dxa"/>
            <w:shd w:val="clear" w:color="auto" w:fill="FFFFFF"/>
            <w:vAlign w:val="center"/>
          </w:tcPr>
          <w:p w14:paraId="1DC750A2"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48,260</w:t>
            </w:r>
          </w:p>
        </w:tc>
        <w:tc>
          <w:tcPr>
            <w:tcW w:w="1134" w:type="dxa"/>
            <w:shd w:val="clear" w:color="auto" w:fill="FFFFFF"/>
            <w:vAlign w:val="center"/>
          </w:tcPr>
          <w:p w14:paraId="026D0649"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,259</w:t>
            </w:r>
          </w:p>
        </w:tc>
        <w:tc>
          <w:tcPr>
            <w:tcW w:w="850" w:type="dxa"/>
            <w:shd w:val="clear" w:color="auto" w:fill="FFFFFF"/>
            <w:vAlign w:val="center"/>
          </w:tcPr>
          <w:p w14:paraId="2B96D12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3,319</w:t>
            </w:r>
          </w:p>
        </w:tc>
        <w:tc>
          <w:tcPr>
            <w:tcW w:w="567" w:type="dxa"/>
            <w:shd w:val="clear" w:color="auto" w:fill="FFFFFF"/>
            <w:vAlign w:val="center"/>
          </w:tcPr>
          <w:p w14:paraId="53E356BC"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,001</w:t>
            </w:r>
          </w:p>
        </w:tc>
        <w:tc>
          <w:tcPr>
            <w:tcW w:w="851" w:type="dxa"/>
            <w:shd w:val="clear" w:color="auto" w:fill="FFFFFF"/>
            <w:vAlign w:val="center"/>
          </w:tcPr>
          <w:p w14:paraId="53833B4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64,921</w:t>
            </w:r>
          </w:p>
        </w:tc>
        <w:tc>
          <w:tcPr>
            <w:tcW w:w="992" w:type="dxa"/>
            <w:shd w:val="clear" w:color="auto" w:fill="FFFFFF"/>
            <w:vAlign w:val="center"/>
          </w:tcPr>
          <w:p w14:paraId="6C8693A5"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255,471</w:t>
            </w:r>
          </w:p>
        </w:tc>
      </w:tr>
      <w:tr w:rsidR="000237B3" w:rsidRPr="00155A30" w14:paraId="121A60D4" w14:textId="77777777" w:rsidTr="00155A30">
        <w:trPr>
          <w:cantSplit/>
        </w:trPr>
        <w:tc>
          <w:tcPr>
            <w:tcW w:w="421" w:type="dxa"/>
            <w:vMerge/>
            <w:shd w:val="clear" w:color="auto" w:fill="FFFFFF"/>
          </w:tcPr>
          <w:p w14:paraId="4CA4F06F" w14:textId="77777777" w:rsidR="00C67CB8" w:rsidRPr="00A5701A" w:rsidRDefault="00C67CB8" w:rsidP="00A5701A">
            <w:pPr>
              <w:autoSpaceDE w:val="0"/>
              <w:autoSpaceDN w:val="0"/>
              <w:adjustRightInd w:val="0"/>
              <w:spacing w:line="240" w:lineRule="auto"/>
              <w:rPr>
                <w:rFonts w:ascii="Times New Roman" w:hAnsi="Times New Roman" w:cs="Times New Roman"/>
                <w:color w:val="000000"/>
                <w:sz w:val="18"/>
                <w:szCs w:val="18"/>
              </w:rPr>
            </w:pPr>
          </w:p>
        </w:tc>
        <w:tc>
          <w:tcPr>
            <w:tcW w:w="1559" w:type="dxa"/>
            <w:shd w:val="clear" w:color="auto" w:fill="FFFF00"/>
          </w:tcPr>
          <w:p w14:paraId="6EA89E9A" w14:textId="77777777" w:rsidR="00C67CB8" w:rsidRPr="00A5701A" w:rsidRDefault="00C67CB8" w:rsidP="00A5701A">
            <w:pPr>
              <w:autoSpaceDE w:val="0"/>
              <w:autoSpaceDN w:val="0"/>
              <w:adjustRightInd w:val="0"/>
              <w:spacing w:line="320" w:lineRule="atLeast"/>
              <w:ind w:left="60" w:right="60"/>
              <w:jc w:val="left"/>
              <w:rPr>
                <w:rFonts w:ascii="Times New Roman" w:hAnsi="Times New Roman" w:cs="Times New Roman"/>
                <w:color w:val="000000"/>
                <w:sz w:val="18"/>
                <w:szCs w:val="18"/>
              </w:rPr>
            </w:pPr>
            <w:r w:rsidRPr="00A5701A">
              <w:rPr>
                <w:rFonts w:ascii="Times New Roman" w:hAnsi="Times New Roman" w:cs="Times New Roman"/>
                <w:color w:val="000000"/>
                <w:sz w:val="18"/>
                <w:szCs w:val="18"/>
              </w:rPr>
              <w:t>Pollution Index</w:t>
            </w:r>
          </w:p>
        </w:tc>
        <w:tc>
          <w:tcPr>
            <w:tcW w:w="1134" w:type="dxa"/>
            <w:shd w:val="clear" w:color="auto" w:fill="FFFFFF"/>
            <w:vAlign w:val="center"/>
          </w:tcPr>
          <w:p w14:paraId="55D96757"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66,678</w:t>
            </w:r>
          </w:p>
        </w:tc>
        <w:tc>
          <w:tcPr>
            <w:tcW w:w="1134" w:type="dxa"/>
            <w:shd w:val="clear" w:color="auto" w:fill="FFFFFF"/>
            <w:vAlign w:val="center"/>
          </w:tcPr>
          <w:p w14:paraId="105E55F1"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23,408</w:t>
            </w:r>
          </w:p>
        </w:tc>
        <w:tc>
          <w:tcPr>
            <w:tcW w:w="1134" w:type="dxa"/>
            <w:shd w:val="clear" w:color="auto" w:fill="FFFFFF"/>
            <w:vAlign w:val="center"/>
          </w:tcPr>
          <w:p w14:paraId="0E13B028"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,277</w:t>
            </w:r>
          </w:p>
        </w:tc>
        <w:tc>
          <w:tcPr>
            <w:tcW w:w="850" w:type="dxa"/>
            <w:shd w:val="clear" w:color="auto" w:fill="FFFFFF"/>
            <w:vAlign w:val="center"/>
          </w:tcPr>
          <w:p w14:paraId="2459AB73"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2,848</w:t>
            </w:r>
          </w:p>
        </w:tc>
        <w:tc>
          <w:tcPr>
            <w:tcW w:w="567" w:type="dxa"/>
            <w:shd w:val="clear" w:color="auto" w:fill="FFFFFF"/>
            <w:vAlign w:val="center"/>
          </w:tcPr>
          <w:p w14:paraId="1F13281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,005</w:t>
            </w:r>
          </w:p>
        </w:tc>
        <w:tc>
          <w:tcPr>
            <w:tcW w:w="851" w:type="dxa"/>
            <w:shd w:val="clear" w:color="auto" w:fill="FFFFFF"/>
            <w:vAlign w:val="center"/>
          </w:tcPr>
          <w:p w14:paraId="3CF658AB"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20,466</w:t>
            </w:r>
          </w:p>
        </w:tc>
        <w:tc>
          <w:tcPr>
            <w:tcW w:w="992" w:type="dxa"/>
            <w:shd w:val="clear" w:color="auto" w:fill="FFFFFF"/>
            <w:vAlign w:val="center"/>
          </w:tcPr>
          <w:p w14:paraId="51B46F30" w14:textId="77777777" w:rsidR="00C67CB8" w:rsidRPr="00A5701A" w:rsidRDefault="00C67CB8" w:rsidP="00A5701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A5701A">
              <w:rPr>
                <w:rFonts w:ascii="Times New Roman" w:hAnsi="Times New Roman" w:cs="Times New Roman"/>
                <w:color w:val="000000"/>
                <w:sz w:val="18"/>
                <w:szCs w:val="18"/>
              </w:rPr>
              <w:t>112,890</w:t>
            </w:r>
          </w:p>
        </w:tc>
      </w:tr>
    </w:tbl>
    <w:p w14:paraId="0ACC31D8" w14:textId="77777777" w:rsidR="00257EEA" w:rsidRPr="00A5701A" w:rsidRDefault="00257EEA" w:rsidP="00257EEA">
      <w:pPr>
        <w:spacing w:line="240" w:lineRule="auto"/>
        <w:ind w:firstLine="567"/>
        <w:jc w:val="center"/>
        <w:rPr>
          <w:rFonts w:ascii="Times New Roman" w:hAnsi="Times New Roman" w:cs="Times New Roman"/>
          <w:sz w:val="20"/>
          <w:szCs w:val="20"/>
        </w:rPr>
      </w:pPr>
      <w:r w:rsidRPr="00A5701A">
        <w:rPr>
          <w:rFonts w:ascii="Times New Roman" w:hAnsi="Times New Roman" w:cs="Times New Roman"/>
          <w:sz w:val="20"/>
          <w:szCs w:val="20"/>
        </w:rPr>
        <w:t>Fonte: A autora</w:t>
      </w:r>
    </w:p>
    <w:p w14:paraId="1067AD5C" w14:textId="2BFD5427" w:rsidR="00C9624C" w:rsidRDefault="00C9624C" w:rsidP="00A4193F">
      <w:pPr>
        <w:rPr>
          <w:rFonts w:cs="Arial"/>
          <w:b/>
          <w:bCs/>
          <w:sz w:val="16"/>
          <w:szCs w:val="16"/>
        </w:rPr>
      </w:pPr>
    </w:p>
    <w:p w14:paraId="30921590" w14:textId="77777777" w:rsidR="00257EEA" w:rsidRPr="00155A30" w:rsidRDefault="00257EEA" w:rsidP="00A4193F">
      <w:pPr>
        <w:rPr>
          <w:rFonts w:cs="Arial"/>
          <w:b/>
          <w:bCs/>
          <w:sz w:val="16"/>
          <w:szCs w:val="16"/>
        </w:rPr>
      </w:pPr>
    </w:p>
    <w:p w14:paraId="00641566" w14:textId="057C8423" w:rsidR="00EF5433" w:rsidRDefault="007C7DBB" w:rsidP="000B7B1B">
      <w:pPr>
        <w:rPr>
          <w:rFonts w:ascii="Times New Roman" w:eastAsia="Times New Roman" w:hAnsi="Times New Roman" w:cs="Times New Roman"/>
          <w:szCs w:val="24"/>
        </w:rPr>
      </w:pPr>
      <w:r w:rsidRPr="00A5701A">
        <w:rPr>
          <w:rFonts w:ascii="Times New Roman" w:hAnsi="Times New Roman" w:cs="Times New Roman"/>
          <w:szCs w:val="24"/>
        </w:rPr>
        <w:t xml:space="preserve">Analisando a tabela no método Backward, verifica-se que as variáveis que influem na queda da qualidade de vida das cidades são: </w:t>
      </w:r>
      <w:r w:rsidRPr="00A5701A">
        <w:rPr>
          <w:rFonts w:ascii="Times New Roman" w:eastAsia="Times New Roman" w:hAnsi="Times New Roman" w:cs="Times New Roman"/>
          <w:szCs w:val="24"/>
        </w:rPr>
        <w:t>Safety Index,Cost of Living Index; Property Price to Income Ratio Index,Traffic Commute Time Index e Pollution Index.</w:t>
      </w:r>
      <w:r w:rsidR="00F021D7" w:rsidRPr="00A5701A">
        <w:rPr>
          <w:rFonts w:ascii="Times New Roman" w:eastAsia="Times New Roman" w:hAnsi="Times New Roman" w:cs="Times New Roman"/>
          <w:szCs w:val="24"/>
        </w:rPr>
        <w:t xml:space="preserve"> </w:t>
      </w:r>
      <w:r w:rsidRPr="00A5701A">
        <w:rPr>
          <w:rFonts w:ascii="Times New Roman" w:eastAsia="Times New Roman" w:hAnsi="Times New Roman" w:cs="Times New Roman"/>
          <w:szCs w:val="24"/>
        </w:rPr>
        <w:t>As variáveis que na análise estatística do modelo são apresentadas como influentes na queda da qualidade de vida, estão interligadas ao Planejamento Urbano inexistente, ou inadequado. Associando que, quanto ma</w:t>
      </w:r>
      <w:r w:rsidR="000566A6">
        <w:rPr>
          <w:rFonts w:ascii="Times New Roman" w:eastAsia="Times New Roman" w:hAnsi="Times New Roman" w:cs="Times New Roman"/>
          <w:szCs w:val="24"/>
        </w:rPr>
        <w:t>ior a</w:t>
      </w:r>
      <w:r w:rsidRPr="00A5701A">
        <w:rPr>
          <w:rFonts w:ascii="Times New Roman" w:eastAsia="Times New Roman" w:hAnsi="Times New Roman" w:cs="Times New Roman"/>
          <w:szCs w:val="24"/>
        </w:rPr>
        <w:t xml:space="preserve"> densidade populacional nos espaços urbanos, menor a segurança, maior o custo de vida, o preço da propriedade em relação a renda (pois, haverá mais procura pelos imóveis), maior o tempo de deslocamento no trânsito e a poluição, pois haverá um número  maior de pessoas circulando principalmente utilizando modais </w:t>
      </w:r>
      <w:r w:rsidRPr="00A5701A">
        <w:rPr>
          <w:rFonts w:ascii="Times New Roman" w:eastAsia="Times New Roman" w:hAnsi="Times New Roman" w:cs="Times New Roman"/>
          <w:szCs w:val="24"/>
        </w:rPr>
        <w:lastRenderedPageBreak/>
        <w:t>motorizados, por meio do  transporte público ou individual, com influência direta na mobilidade urbana de toda a população. Ou seja, se os deslocamentos forem maiores aumenta a poluição.</w:t>
      </w:r>
      <w:r w:rsidR="00F021D7" w:rsidRPr="00A5701A">
        <w:rPr>
          <w:rFonts w:ascii="Times New Roman" w:eastAsia="Times New Roman" w:hAnsi="Times New Roman" w:cs="Times New Roman"/>
          <w:szCs w:val="24"/>
        </w:rPr>
        <w:t xml:space="preserve"> </w:t>
      </w:r>
      <w:r w:rsidRPr="00A5701A">
        <w:rPr>
          <w:rFonts w:ascii="Times New Roman" w:eastAsia="Times New Roman" w:hAnsi="Times New Roman" w:cs="Times New Roman"/>
          <w:szCs w:val="24"/>
        </w:rPr>
        <w:t>Os cuidados com a saúde de acordo com análise estatística, não é um fator que influencia na queda da qualidade de vida nas cidades. Embora o indicador de saúde não seja um dos fatores no Qualtiy of Life Index Numbeo, de acordo com a análise estatística que provoque a degradação da qualidade de vida, ele está implícito na variável de Planejamento Urbano e Tecnologia, inserida na nova classificação. Pois, um Planejamento Urbano inadequado ou ineficiente,</w:t>
      </w:r>
      <w:r w:rsidR="000566A6">
        <w:rPr>
          <w:rFonts w:ascii="Times New Roman" w:eastAsia="Times New Roman" w:hAnsi="Times New Roman" w:cs="Times New Roman"/>
          <w:szCs w:val="24"/>
        </w:rPr>
        <w:t xml:space="preserve"> pode </w:t>
      </w:r>
      <w:r w:rsidRPr="00A5701A">
        <w:rPr>
          <w:rFonts w:ascii="Times New Roman" w:eastAsia="Times New Roman" w:hAnsi="Times New Roman" w:cs="Times New Roman"/>
          <w:szCs w:val="24"/>
        </w:rPr>
        <w:t xml:space="preserve"> colabora</w:t>
      </w:r>
      <w:r w:rsidR="000566A6">
        <w:rPr>
          <w:rFonts w:ascii="Times New Roman" w:eastAsia="Times New Roman" w:hAnsi="Times New Roman" w:cs="Times New Roman"/>
          <w:szCs w:val="24"/>
        </w:rPr>
        <w:t>r</w:t>
      </w:r>
      <w:r w:rsidRPr="00A5701A">
        <w:rPr>
          <w:rFonts w:ascii="Times New Roman" w:eastAsia="Times New Roman" w:hAnsi="Times New Roman" w:cs="Times New Roman"/>
          <w:szCs w:val="24"/>
        </w:rPr>
        <w:t xml:space="preserve"> para os problemas de saúde a curto, médio ou longo prazo, com consequências direta na qualidade de vida das pessoas no espaço urbano. A falta de Planejamento Urbano conectado a tecnologia, prejudica a infraestrutura das cidades, principalmente as mais densas e pobres. Como por exemplo, a ausência de saneamento básico, que por sua vez, estão associadas a moradias inadequadas e interligadas a políticas públicas habitacionais e de saneamento pouco efetivas. Na ausência destes fatores há consequências negativas para a saúde com repercussão para toda a população que habita a cidade. </w:t>
      </w:r>
      <w:r w:rsidR="00EF5433" w:rsidRPr="00A5701A">
        <w:rPr>
          <w:rFonts w:ascii="Times New Roman" w:eastAsia="Times New Roman" w:hAnsi="Times New Roman" w:cs="Times New Roman"/>
          <w:szCs w:val="24"/>
        </w:rPr>
        <w:t>A pandemia de COVID 19 elucida bem essa questão, quando a única forma de proteção orientada pela OMS (Organização Mundial de Saúde),</w:t>
      </w:r>
      <w:r w:rsidR="00281FA1">
        <w:rPr>
          <w:rFonts w:ascii="Times New Roman" w:eastAsia="Times New Roman" w:hAnsi="Times New Roman" w:cs="Times New Roman"/>
          <w:szCs w:val="24"/>
        </w:rPr>
        <w:t xml:space="preserve"> até que se tenha vacina para</w:t>
      </w:r>
      <w:r w:rsidR="002A6C43">
        <w:rPr>
          <w:rFonts w:ascii="Times New Roman" w:eastAsia="Times New Roman" w:hAnsi="Times New Roman" w:cs="Times New Roman"/>
          <w:szCs w:val="24"/>
        </w:rPr>
        <w:t xml:space="preserve"> aproximadamente</w:t>
      </w:r>
      <w:r w:rsidR="00281FA1">
        <w:rPr>
          <w:rFonts w:ascii="Times New Roman" w:eastAsia="Times New Roman" w:hAnsi="Times New Roman" w:cs="Times New Roman"/>
          <w:szCs w:val="24"/>
        </w:rPr>
        <w:t xml:space="preserve"> 70% da população,</w:t>
      </w:r>
      <w:r w:rsidR="00EF5433" w:rsidRPr="00A5701A">
        <w:rPr>
          <w:rFonts w:ascii="Times New Roman" w:eastAsia="Times New Roman" w:hAnsi="Times New Roman" w:cs="Times New Roman"/>
          <w:szCs w:val="24"/>
        </w:rPr>
        <w:t xml:space="preserve"> contra o SARS- COV-2 é a higiene pessoal e o distanciamento </w:t>
      </w:r>
      <w:r w:rsidR="00281FA1">
        <w:rPr>
          <w:rFonts w:ascii="Times New Roman" w:eastAsia="Times New Roman" w:hAnsi="Times New Roman" w:cs="Times New Roman"/>
          <w:szCs w:val="24"/>
        </w:rPr>
        <w:t>físico</w:t>
      </w:r>
      <w:r w:rsidR="00EF5433" w:rsidRPr="00A5701A">
        <w:rPr>
          <w:rFonts w:ascii="Times New Roman" w:eastAsia="Times New Roman" w:hAnsi="Times New Roman" w:cs="Times New Roman"/>
          <w:szCs w:val="24"/>
        </w:rPr>
        <w:t>. Essas medidas se tornam impraticáveis em países subdesenvolvidos, onde o modelo de habitação</w:t>
      </w:r>
      <w:r w:rsidR="00603ECC">
        <w:rPr>
          <w:rFonts w:ascii="Times New Roman" w:eastAsia="Times New Roman" w:hAnsi="Times New Roman" w:cs="Times New Roman"/>
          <w:szCs w:val="24"/>
        </w:rPr>
        <w:t xml:space="preserve"> para grande parte da popução sem condições financeiras,</w:t>
      </w:r>
      <w:r w:rsidR="00EF5433" w:rsidRPr="00A5701A">
        <w:rPr>
          <w:rFonts w:ascii="Times New Roman" w:eastAsia="Times New Roman" w:hAnsi="Times New Roman" w:cs="Times New Roman"/>
          <w:szCs w:val="24"/>
        </w:rPr>
        <w:t xml:space="preserve"> é de aglomerados subnormais (favelas), como é o caso do Brasil, que não possui a condição mínima para nenhuma dessas duas ações, afetando a qualidade de vida e a saúde pela alta transmissibilidade da doença. </w:t>
      </w:r>
    </w:p>
    <w:p w14:paraId="14E5DF4D" w14:textId="77777777" w:rsidR="00871594" w:rsidRPr="00A5701A" w:rsidRDefault="00871594" w:rsidP="000B7B1B">
      <w:pPr>
        <w:rPr>
          <w:rFonts w:ascii="Times New Roman" w:eastAsia="Times New Roman" w:hAnsi="Times New Roman" w:cs="Times New Roman"/>
          <w:szCs w:val="24"/>
        </w:rPr>
      </w:pPr>
    </w:p>
    <w:p w14:paraId="084AE737" w14:textId="3B106F39" w:rsidR="000B7B1B" w:rsidRPr="00A5701A" w:rsidRDefault="000B7B1B" w:rsidP="000B7B1B">
      <w:pPr>
        <w:rPr>
          <w:rFonts w:ascii="Times New Roman" w:hAnsi="Times New Roman" w:cs="Times New Roman"/>
          <w:b/>
          <w:bCs/>
        </w:rPr>
      </w:pPr>
      <w:bookmarkStart w:id="8" w:name="_Toc42528027"/>
      <w:bookmarkStart w:id="9" w:name="_Toc52456905"/>
      <w:r w:rsidRPr="00A5701A">
        <w:rPr>
          <w:rFonts w:ascii="Times New Roman" w:hAnsi="Times New Roman" w:cs="Times New Roman"/>
          <w:b/>
          <w:bCs/>
        </w:rPr>
        <w:t xml:space="preserve">4. </w:t>
      </w:r>
      <w:r w:rsidR="00B9665A">
        <w:rPr>
          <w:rFonts w:ascii="Times New Roman" w:hAnsi="Times New Roman" w:cs="Times New Roman"/>
          <w:b/>
          <w:bCs/>
        </w:rPr>
        <w:t>C</w:t>
      </w:r>
      <w:r w:rsidR="00B9665A" w:rsidRPr="00A5701A">
        <w:rPr>
          <w:rFonts w:ascii="Times New Roman" w:hAnsi="Times New Roman" w:cs="Times New Roman"/>
          <w:b/>
          <w:bCs/>
        </w:rPr>
        <w:t>ONTRIBUIÇÃO A AVALIAÇÃO DA QUALIDADE DE VIDA NOS C</w:t>
      </w:r>
      <w:bookmarkEnd w:id="8"/>
      <w:r w:rsidR="00B9665A" w:rsidRPr="00A5701A">
        <w:rPr>
          <w:rFonts w:ascii="Times New Roman" w:hAnsi="Times New Roman" w:cs="Times New Roman"/>
          <w:b/>
          <w:bCs/>
        </w:rPr>
        <w:t>ENTROS URBANOS</w:t>
      </w:r>
      <w:bookmarkEnd w:id="9"/>
    </w:p>
    <w:p w14:paraId="7EAB9FFA" w14:textId="45AE44F5" w:rsidR="00AE0CFA" w:rsidRPr="00A5701A" w:rsidRDefault="00AE0CFA" w:rsidP="00AE0CFA">
      <w:pPr>
        <w:rPr>
          <w:rFonts w:ascii="Times New Roman" w:hAnsi="Times New Roman" w:cs="Times New Roman"/>
          <w:szCs w:val="24"/>
        </w:rPr>
      </w:pPr>
      <w:r w:rsidRPr="00A5701A">
        <w:rPr>
          <w:rFonts w:ascii="Times New Roman" w:hAnsi="Times New Roman" w:cs="Times New Roman"/>
          <w:szCs w:val="24"/>
        </w:rPr>
        <w:t xml:space="preserve">Como contribuição para a verificação da qualidade de vida nas cidades, esta pesquisa inseriu duas novas variáveis no Quality of Life Index da Numbeo, de acordo </w:t>
      </w:r>
      <w:r w:rsidRPr="00A5701A">
        <w:rPr>
          <w:rFonts w:ascii="Times New Roman" w:hAnsi="Times New Roman" w:cs="Times New Roman"/>
          <w:szCs w:val="24"/>
          <w:shd w:val="clear" w:color="auto" w:fill="FFFFFF" w:themeFill="background1"/>
        </w:rPr>
        <w:t xml:space="preserve">com equação </w:t>
      </w:r>
      <w:r w:rsidR="007C75C7" w:rsidRPr="00A5701A">
        <w:rPr>
          <w:rFonts w:ascii="Times New Roman" w:hAnsi="Times New Roman" w:cs="Times New Roman"/>
          <w:szCs w:val="24"/>
          <w:shd w:val="clear" w:color="auto" w:fill="FFFFFF" w:themeFill="background1"/>
        </w:rPr>
        <w:t>3</w:t>
      </w:r>
      <w:r w:rsidR="0035459F" w:rsidRPr="00A5701A">
        <w:rPr>
          <w:rFonts w:ascii="Times New Roman" w:hAnsi="Times New Roman" w:cs="Times New Roman"/>
          <w:szCs w:val="24"/>
          <w:shd w:val="clear" w:color="auto" w:fill="FFFFFF" w:themeFill="background1"/>
        </w:rPr>
        <w:t>,</w:t>
      </w:r>
      <w:r w:rsidRPr="00A5701A">
        <w:rPr>
          <w:rFonts w:ascii="Times New Roman" w:hAnsi="Times New Roman" w:cs="Times New Roman"/>
          <w:szCs w:val="24"/>
        </w:rPr>
        <w:t xml:space="preserve"> originando uma nova classificação das cidades. </w:t>
      </w:r>
    </w:p>
    <w:tbl>
      <w:tblPr>
        <w:tblStyle w:val="Tabelacomgrade"/>
        <w:tblW w:w="0" w:type="auto"/>
        <w:jc w:val="center"/>
        <w:tblLook w:val="04A0" w:firstRow="1" w:lastRow="0" w:firstColumn="1" w:lastColumn="0" w:noHBand="0" w:noVBand="1"/>
      </w:tblPr>
      <w:tblGrid>
        <w:gridCol w:w="6515"/>
        <w:gridCol w:w="986"/>
      </w:tblGrid>
      <w:tr w:rsidR="00363706" w:rsidRPr="005E3173" w14:paraId="2D6E5AD3" w14:textId="77777777" w:rsidTr="00A5701A">
        <w:trPr>
          <w:jc w:val="center"/>
        </w:trPr>
        <w:tc>
          <w:tcPr>
            <w:tcW w:w="6515" w:type="dxa"/>
          </w:tcPr>
          <w:p w14:paraId="2D9F4514" w14:textId="77777777" w:rsidR="00363706" w:rsidRDefault="00363706" w:rsidP="00A5701A">
            <w:pPr>
              <w:pStyle w:val="NormalWeb"/>
              <w:spacing w:before="0" w:beforeAutospacing="0" w:after="0" w:afterAutospacing="0" w:line="360" w:lineRule="auto"/>
              <w:rPr>
                <w:rFonts w:ascii="Arial" w:hAnsi="Arial" w:cs="Arial"/>
                <w:b/>
                <w:color w:val="FF0000"/>
              </w:rPr>
            </w:pPr>
            <m:oMathPara>
              <m:oMath>
                <m:r>
                  <w:rPr>
                    <w:rFonts w:ascii="Cambria Math" w:hAnsi="Cambria Math" w:cs="Arial"/>
                  </w:rPr>
                  <m:t>Y= 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+u</m:t>
                </m:r>
              </m:oMath>
            </m:oMathPara>
          </w:p>
        </w:tc>
        <w:tc>
          <w:tcPr>
            <w:tcW w:w="986" w:type="dxa"/>
          </w:tcPr>
          <w:p w14:paraId="5229ECCD" w14:textId="719BA3E1" w:rsidR="00363706" w:rsidRPr="005E3173" w:rsidRDefault="00363706" w:rsidP="00A5701A">
            <w:pPr>
              <w:pStyle w:val="NormalWeb"/>
              <w:spacing w:before="0" w:beforeAutospacing="0" w:after="0" w:afterAutospacing="0" w:line="360" w:lineRule="auto"/>
              <w:rPr>
                <w:rFonts w:ascii="Arial" w:hAnsi="Arial" w:cs="Arial"/>
                <w:bCs/>
              </w:rPr>
            </w:pPr>
            <w:r w:rsidRPr="005E3173">
              <w:rPr>
                <w:rFonts w:ascii="Arial" w:hAnsi="Arial" w:cs="Arial"/>
                <w:bCs/>
              </w:rPr>
              <w:t>(</w:t>
            </w:r>
            <w:r w:rsidR="007C75C7">
              <w:rPr>
                <w:rFonts w:ascii="Arial" w:hAnsi="Arial" w:cs="Arial"/>
                <w:bCs/>
              </w:rPr>
              <w:t>3</w:t>
            </w:r>
            <w:r w:rsidRPr="005E3173">
              <w:rPr>
                <w:rFonts w:ascii="Arial" w:hAnsi="Arial" w:cs="Arial"/>
                <w:bCs/>
              </w:rPr>
              <w:t>)</w:t>
            </w:r>
          </w:p>
        </w:tc>
      </w:tr>
    </w:tbl>
    <w:p w14:paraId="4F37FFE5" w14:textId="3260C81D" w:rsidR="00363706" w:rsidRDefault="00363706" w:rsidP="00AE0CFA">
      <w:pPr>
        <w:rPr>
          <w:rFonts w:cs="Arial"/>
          <w:szCs w:val="24"/>
        </w:rPr>
      </w:pPr>
    </w:p>
    <w:p w14:paraId="45777B2F" w14:textId="4082C450" w:rsidR="00AE0CFA" w:rsidRPr="00A5701A" w:rsidRDefault="00AE0CFA" w:rsidP="00C97748">
      <w:pPr>
        <w:rPr>
          <w:rFonts w:ascii="Times New Roman" w:hAnsi="Times New Roman" w:cs="Times New Roman"/>
          <w:szCs w:val="24"/>
        </w:rPr>
      </w:pPr>
      <w:r w:rsidRPr="00A5701A">
        <w:rPr>
          <w:rFonts w:ascii="Times New Roman" w:hAnsi="Times New Roman" w:cs="Times New Roman"/>
          <w:szCs w:val="24"/>
        </w:rPr>
        <w:t>Analisou-se o impacto da nova classificação da inserção das duas novas variáveis, sobre todas as cidades, observando a nova classificação, com olhar para as densas.</w:t>
      </w:r>
      <w:r w:rsidR="00C7651C" w:rsidRPr="00A5701A">
        <w:rPr>
          <w:rFonts w:ascii="Times New Roman" w:hAnsi="Times New Roman" w:cs="Times New Roman"/>
          <w:szCs w:val="24"/>
        </w:rPr>
        <w:t xml:space="preserve"> </w:t>
      </w:r>
      <w:r w:rsidRPr="00A5701A">
        <w:rPr>
          <w:rFonts w:ascii="Times New Roman" w:hAnsi="Times New Roman" w:cs="Times New Roman"/>
          <w:szCs w:val="24"/>
        </w:rPr>
        <w:t xml:space="preserve">A inserção das duas variáveis, a de Planejamento Urbano e Tecnologia, foi baseada na relevância </w:t>
      </w:r>
      <w:r w:rsidRPr="00A5701A">
        <w:rPr>
          <w:rFonts w:ascii="Times New Roman" w:hAnsi="Times New Roman" w:cs="Times New Roman"/>
          <w:szCs w:val="24"/>
        </w:rPr>
        <w:lastRenderedPageBreak/>
        <w:t>que elas apresentam para a qualidade de vida nos espaços urbanos, conforme apresentado na pesquisa documental, referências bibliográficas, e no Citie in Motion do IESE.</w:t>
      </w:r>
      <w:r w:rsidR="0003002A" w:rsidRPr="00A5701A">
        <w:rPr>
          <w:rFonts w:ascii="Times New Roman" w:hAnsi="Times New Roman" w:cs="Times New Roman"/>
          <w:szCs w:val="24"/>
        </w:rPr>
        <w:t xml:space="preserve"> Para realizar a nova classificação foram realizadas duas análises quantitativas</w:t>
      </w:r>
      <w:r w:rsidR="009C10F8" w:rsidRPr="00A5701A">
        <w:rPr>
          <w:rFonts w:ascii="Times New Roman" w:hAnsi="Times New Roman" w:cs="Times New Roman"/>
          <w:szCs w:val="24"/>
        </w:rPr>
        <w:t>.</w:t>
      </w:r>
      <w:r w:rsidR="0003002A" w:rsidRPr="00A5701A">
        <w:rPr>
          <w:rFonts w:ascii="Times New Roman" w:hAnsi="Times New Roman" w:cs="Times New Roman"/>
          <w:szCs w:val="24"/>
        </w:rPr>
        <w:t xml:space="preserve"> </w:t>
      </w:r>
      <w:r w:rsidR="005B378A" w:rsidRPr="00A5701A">
        <w:rPr>
          <w:rFonts w:ascii="Times New Roman" w:hAnsi="Times New Roman" w:cs="Times New Roman"/>
          <w:szCs w:val="24"/>
        </w:rPr>
        <w:t>Uma</w:t>
      </w:r>
      <w:r w:rsidR="00C97748" w:rsidRPr="00A5701A">
        <w:rPr>
          <w:rFonts w:ascii="Times New Roman" w:hAnsi="Times New Roman" w:cs="Times New Roman"/>
          <w:szCs w:val="24"/>
        </w:rPr>
        <w:t xml:space="preserve"> das a</w:t>
      </w:r>
      <w:r w:rsidR="005B378A" w:rsidRPr="00A5701A">
        <w:rPr>
          <w:rFonts w:ascii="Times New Roman" w:hAnsi="Times New Roman" w:cs="Times New Roman"/>
        </w:rPr>
        <w:t>nálise</w:t>
      </w:r>
      <w:r w:rsidR="00C97748" w:rsidRPr="00A5701A">
        <w:rPr>
          <w:rFonts w:ascii="Times New Roman" w:hAnsi="Times New Roman" w:cs="Times New Roman"/>
        </w:rPr>
        <w:t>s</w:t>
      </w:r>
      <w:r w:rsidR="005B378A" w:rsidRPr="00A5701A">
        <w:rPr>
          <w:rFonts w:ascii="Times New Roman" w:hAnsi="Times New Roman" w:cs="Times New Roman"/>
        </w:rPr>
        <w:t xml:space="preserve"> utiliz</w:t>
      </w:r>
      <w:r w:rsidR="00C97748" w:rsidRPr="00A5701A">
        <w:rPr>
          <w:rFonts w:ascii="Times New Roman" w:hAnsi="Times New Roman" w:cs="Times New Roman"/>
        </w:rPr>
        <w:t>ou-se</w:t>
      </w:r>
      <w:r w:rsidR="005B378A" w:rsidRPr="00A5701A">
        <w:rPr>
          <w:rFonts w:ascii="Times New Roman" w:hAnsi="Times New Roman" w:cs="Times New Roman"/>
        </w:rPr>
        <w:t xml:space="preserve"> os pesos 0.5 para Planejamento Urbano e 0.4 para Tecnologia </w:t>
      </w:r>
      <w:r w:rsidR="005B378A" w:rsidRPr="00A5701A">
        <w:rPr>
          <w:rFonts w:ascii="Times New Roman" w:hAnsi="Times New Roman" w:cs="Times New Roman"/>
          <w:szCs w:val="24"/>
        </w:rPr>
        <w:t>Nesta primeira análise foi atribuído ao Planejamento Urbano o peso de 0.5 e para a Tecnologia 0.4, baseado nos valores atribuídos pela Numbeo</w:t>
      </w:r>
      <w:r w:rsidR="00506704" w:rsidRPr="00A5701A">
        <w:rPr>
          <w:rFonts w:ascii="Times New Roman" w:hAnsi="Times New Roman" w:cs="Times New Roman"/>
          <w:szCs w:val="24"/>
        </w:rPr>
        <w:t xml:space="preserve"> no Quality of Life Index</w:t>
      </w:r>
      <w:r w:rsidR="009F79C5" w:rsidRPr="00A5701A">
        <w:rPr>
          <w:rFonts w:ascii="Times New Roman" w:hAnsi="Times New Roman" w:cs="Times New Roman"/>
          <w:szCs w:val="24"/>
        </w:rPr>
        <w:t xml:space="preserve">. A equação </w:t>
      </w:r>
      <w:r w:rsidR="00EB32BA">
        <w:rPr>
          <w:rFonts w:ascii="Times New Roman" w:hAnsi="Times New Roman" w:cs="Times New Roman"/>
          <w:szCs w:val="24"/>
        </w:rPr>
        <w:t>4</w:t>
      </w:r>
      <w:r w:rsidR="0057700F">
        <w:rPr>
          <w:rFonts w:ascii="Times New Roman" w:hAnsi="Times New Roman" w:cs="Times New Roman"/>
          <w:szCs w:val="24"/>
        </w:rPr>
        <w:t xml:space="preserve"> foi obtida </w:t>
      </w:r>
      <w:r w:rsidR="009F79C5" w:rsidRPr="00A5701A">
        <w:rPr>
          <w:rFonts w:ascii="Times New Roman" w:hAnsi="Times New Roman" w:cs="Times New Roman"/>
          <w:szCs w:val="24"/>
        </w:rPr>
        <w:t xml:space="preserve"> </w:t>
      </w:r>
      <w:r w:rsidR="0057700F" w:rsidRPr="00A5701A">
        <w:rPr>
          <w:rFonts w:ascii="Times New Roman" w:hAnsi="Times New Roman" w:cs="Times New Roman"/>
          <w:szCs w:val="24"/>
        </w:rPr>
        <w:t>com a inclusão das variáveis de Planejamento Urbano e</w:t>
      </w:r>
      <w:r w:rsidR="0057700F">
        <w:rPr>
          <w:rFonts w:ascii="Times New Roman" w:hAnsi="Times New Roman" w:cs="Times New Roman"/>
          <w:szCs w:val="24"/>
        </w:rPr>
        <w:t xml:space="preserve"> Tecnologia</w:t>
      </w:r>
      <w:r w:rsidR="0057700F" w:rsidRPr="00A5701A">
        <w:rPr>
          <w:rFonts w:ascii="Times New Roman" w:hAnsi="Times New Roman" w:cs="Times New Roman"/>
          <w:szCs w:val="24"/>
        </w:rPr>
        <w:t xml:space="preserve"> através da equação 2</w:t>
      </w:r>
    </w:p>
    <w:tbl>
      <w:tblPr>
        <w:tblStyle w:val="Tabelacomgrade"/>
        <w:tblW w:w="9214" w:type="dxa"/>
        <w:tblInd w:w="-147" w:type="dxa"/>
        <w:tblLook w:val="04A0" w:firstRow="1" w:lastRow="0" w:firstColumn="1" w:lastColumn="0" w:noHBand="0" w:noVBand="1"/>
      </w:tblPr>
      <w:tblGrid>
        <w:gridCol w:w="8364"/>
        <w:gridCol w:w="850"/>
      </w:tblGrid>
      <w:tr w:rsidR="00CD37B2" w14:paraId="4EFDEDC6" w14:textId="77777777" w:rsidTr="00A5701A">
        <w:tc>
          <w:tcPr>
            <w:tcW w:w="8364" w:type="dxa"/>
          </w:tcPr>
          <w:p w14:paraId="3069465A" w14:textId="77777777" w:rsidR="00CD37B2" w:rsidRPr="0005141E" w:rsidRDefault="00CD37B2" w:rsidP="00A5701A">
            <w:pPr>
              <w:ind w:left="-142" w:firstLine="173"/>
              <w:jc w:val="center"/>
              <w:rPr>
                <w:rFonts w:cs="Arial"/>
                <w:sz w:val="20"/>
                <w:szCs w:val="20"/>
              </w:rPr>
            </w:pPr>
            <w:r w:rsidRPr="0005141E">
              <w:rPr>
                <w:rFonts w:cs="Arial"/>
                <w:sz w:val="20"/>
                <w:szCs w:val="20"/>
              </w:rPr>
              <w:t>QLI=100+0,4PPI+0,55SI+0,4HCI-0,1COLI-1,0PPIRI-0,5TCTI-0,667PI+0,333CI+0,5UPI+0,4TI</w:t>
            </w:r>
          </w:p>
        </w:tc>
        <w:tc>
          <w:tcPr>
            <w:tcW w:w="850" w:type="dxa"/>
            <w:vAlign w:val="center"/>
          </w:tcPr>
          <w:p w14:paraId="51BCB1CD" w14:textId="652CC84F" w:rsidR="00CD37B2" w:rsidRDefault="00CD37B2" w:rsidP="00A5701A">
            <w:pPr>
              <w:jc w:val="center"/>
              <w:rPr>
                <w:rFonts w:cs="Arial"/>
                <w:szCs w:val="24"/>
              </w:rPr>
            </w:pPr>
            <w:r>
              <w:rPr>
                <w:rFonts w:cs="Arial"/>
                <w:szCs w:val="24"/>
              </w:rPr>
              <w:t>(</w:t>
            </w:r>
            <w:r w:rsidR="00EB32BA">
              <w:rPr>
                <w:rFonts w:cs="Arial"/>
                <w:szCs w:val="24"/>
              </w:rPr>
              <w:t>4</w:t>
            </w:r>
            <w:r>
              <w:rPr>
                <w:rFonts w:cs="Arial"/>
                <w:szCs w:val="24"/>
              </w:rPr>
              <w:t>)</w:t>
            </w:r>
          </w:p>
        </w:tc>
      </w:tr>
    </w:tbl>
    <w:p w14:paraId="2793CE66" w14:textId="1A958C99" w:rsidR="007C7DBB" w:rsidRPr="005B378A" w:rsidRDefault="007C7DBB" w:rsidP="00F021D7">
      <w:pPr>
        <w:rPr>
          <w:rFonts w:eastAsia="Times New Roman" w:cs="Arial"/>
          <w:szCs w:val="24"/>
        </w:rPr>
      </w:pPr>
    </w:p>
    <w:p w14:paraId="30D1FBF6" w14:textId="75DEAFA8" w:rsidR="00315326" w:rsidRPr="00A5701A" w:rsidRDefault="00EE67F8" w:rsidP="00EE67F8">
      <w:pPr>
        <w:rPr>
          <w:rFonts w:ascii="Times New Roman" w:hAnsi="Times New Roman" w:cs="Times New Roman"/>
          <w:szCs w:val="24"/>
          <w:lang w:val="en-US"/>
        </w:rPr>
      </w:pPr>
      <w:r w:rsidRPr="00A5701A">
        <w:rPr>
          <w:rFonts w:ascii="Times New Roman" w:hAnsi="Times New Roman" w:cs="Times New Roman"/>
          <w:szCs w:val="24"/>
          <w:lang w:val="en-US"/>
        </w:rPr>
        <w:t>Sendo que: QLI corresponde a Quality of life Index, PPI corresponde a Purchasing Power Index, SI corresponde a Safety Index, HC corresponde a Health Care Index, COLI corresponde a Cost of Living Index, PPIRI corresponde a  Property Price to Income Ratio Index, TCTI corresponde a Trafic Commute Time Index, PI Pollution Index, CI corresponde a Climate Index, UPI corresponde a Urban Planning Index; TI corresponde a Tecnhology Index</w:t>
      </w:r>
      <w:r w:rsidR="00D17B1E" w:rsidRPr="00A5701A">
        <w:rPr>
          <w:rFonts w:ascii="Times New Roman" w:hAnsi="Times New Roman" w:cs="Times New Roman"/>
          <w:szCs w:val="24"/>
          <w:lang w:val="en-US"/>
        </w:rPr>
        <w:t>.</w:t>
      </w:r>
    </w:p>
    <w:p w14:paraId="53169304" w14:textId="0BCFC95B" w:rsidR="00D17B1E" w:rsidRPr="00A5701A" w:rsidRDefault="00D17B1E" w:rsidP="00D17B1E">
      <w:pPr>
        <w:rPr>
          <w:rFonts w:ascii="Times New Roman" w:hAnsi="Times New Roman" w:cs="Times New Roman"/>
          <w:szCs w:val="24"/>
        </w:rPr>
      </w:pPr>
      <w:r w:rsidRPr="00A5701A">
        <w:rPr>
          <w:rFonts w:ascii="Times New Roman" w:hAnsi="Times New Roman" w:cs="Times New Roman"/>
          <w:szCs w:val="24"/>
        </w:rPr>
        <w:t xml:space="preserve">Observa-se que em todas as cidades houve um deslocamento. Em algumas </w:t>
      </w:r>
      <w:r w:rsidR="00E12B64" w:rsidRPr="00A5701A">
        <w:rPr>
          <w:rFonts w:ascii="Times New Roman" w:hAnsi="Times New Roman" w:cs="Times New Roman"/>
          <w:szCs w:val="24"/>
        </w:rPr>
        <w:t>com classificação</w:t>
      </w:r>
      <w:r w:rsidRPr="00A5701A">
        <w:rPr>
          <w:rFonts w:ascii="Times New Roman" w:hAnsi="Times New Roman" w:cs="Times New Roman"/>
          <w:szCs w:val="24"/>
        </w:rPr>
        <w:t xml:space="preserve"> melhores que o ranking de qualidade de vida original Numbeo. Outras com classificação aproximadas e outras com deslocamento para um índice de qualidade de vida menor que o original. Entretanto, foi verificado nov</w:t>
      </w:r>
      <w:r w:rsidR="00110478">
        <w:rPr>
          <w:rFonts w:ascii="Times New Roman" w:hAnsi="Times New Roman" w:cs="Times New Roman"/>
          <w:szCs w:val="24"/>
        </w:rPr>
        <w:t xml:space="preserve">a </w:t>
      </w:r>
      <w:r w:rsidRPr="00A5701A">
        <w:rPr>
          <w:rFonts w:ascii="Times New Roman" w:hAnsi="Times New Roman" w:cs="Times New Roman"/>
          <w:szCs w:val="24"/>
        </w:rPr>
        <w:t xml:space="preserve"> </w:t>
      </w:r>
      <w:r w:rsidR="00110478">
        <w:rPr>
          <w:rFonts w:ascii="Times New Roman" w:hAnsi="Times New Roman" w:cs="Times New Roman"/>
          <w:szCs w:val="24"/>
        </w:rPr>
        <w:t>classificação</w:t>
      </w:r>
      <w:r w:rsidRPr="00A5701A">
        <w:rPr>
          <w:rFonts w:ascii="Times New Roman" w:hAnsi="Times New Roman" w:cs="Times New Roman"/>
          <w:szCs w:val="24"/>
        </w:rPr>
        <w:t xml:space="preserve"> para os centros urbanos densos como Tóquio, Seoul, Chicago, Nova Iorque, Londres e Hong Kong. A mobilidade foi de 13 posições de um total de 56 possíveis perfazendo-se 23% do máximo, conforme apresentado na tabela 9. </w:t>
      </w:r>
    </w:p>
    <w:p w14:paraId="2412EA8E" w14:textId="220E6E69" w:rsidR="00D17B1E" w:rsidRPr="00A5701A" w:rsidRDefault="00D17B1E" w:rsidP="00D17B1E">
      <w:pPr>
        <w:ind w:firstLine="567"/>
        <w:jc w:val="center"/>
        <w:rPr>
          <w:rFonts w:ascii="Times New Roman" w:hAnsi="Times New Roman" w:cs="Times New Roman"/>
          <w:color w:val="000000" w:themeColor="text1"/>
          <w:sz w:val="20"/>
          <w:szCs w:val="20"/>
        </w:rPr>
      </w:pPr>
      <w:r w:rsidRPr="00A5701A">
        <w:rPr>
          <w:rFonts w:ascii="Times New Roman" w:hAnsi="Times New Roman" w:cs="Times New Roman"/>
          <w:color w:val="000000" w:themeColor="text1"/>
          <w:sz w:val="20"/>
          <w:szCs w:val="20"/>
        </w:rPr>
        <w:t>Tabela 9 – Efeito Mobilidade</w:t>
      </w:r>
    </w:p>
    <w:tbl>
      <w:tblPr>
        <w:tblStyle w:val="Tabelacomgrade"/>
        <w:tblW w:w="0" w:type="auto"/>
        <w:jc w:val="center"/>
        <w:tblLook w:val="04A0" w:firstRow="1" w:lastRow="0" w:firstColumn="1" w:lastColumn="0" w:noHBand="0" w:noVBand="1"/>
      </w:tblPr>
      <w:tblGrid>
        <w:gridCol w:w="1749"/>
        <w:gridCol w:w="3021"/>
        <w:gridCol w:w="717"/>
      </w:tblGrid>
      <w:tr w:rsidR="00D17B1E" w14:paraId="62701308" w14:textId="77777777" w:rsidTr="00A5701A">
        <w:trPr>
          <w:jc w:val="center"/>
        </w:trPr>
        <w:tc>
          <w:tcPr>
            <w:tcW w:w="5487" w:type="dxa"/>
            <w:gridSpan w:val="3"/>
          </w:tcPr>
          <w:p w14:paraId="04BD04DC" w14:textId="77777777" w:rsidR="00D17B1E" w:rsidRPr="00A5701A" w:rsidRDefault="00D17B1E" w:rsidP="00A5701A">
            <w:pPr>
              <w:jc w:val="center"/>
              <w:rPr>
                <w:rFonts w:ascii="Times New Roman" w:hAnsi="Times New Roman" w:cs="Times New Roman"/>
                <w:sz w:val="20"/>
                <w:szCs w:val="20"/>
              </w:rPr>
            </w:pPr>
            <w:r w:rsidRPr="00A5701A">
              <w:rPr>
                <w:rFonts w:ascii="Times New Roman" w:eastAsia="Times New Roman" w:hAnsi="Times New Roman" w:cs="Times New Roman"/>
                <w:b/>
                <w:bCs/>
                <w:color w:val="000000"/>
                <w:sz w:val="20"/>
                <w:szCs w:val="20"/>
              </w:rPr>
              <w:t>Efeito / Mobilidade</w:t>
            </w:r>
          </w:p>
        </w:tc>
      </w:tr>
      <w:tr w:rsidR="00D17B1E" w14:paraId="0495368E" w14:textId="77777777" w:rsidTr="00A5701A">
        <w:trPr>
          <w:jc w:val="center"/>
        </w:trPr>
        <w:tc>
          <w:tcPr>
            <w:tcW w:w="1749" w:type="dxa"/>
            <w:vAlign w:val="center"/>
          </w:tcPr>
          <w:p w14:paraId="00971312" w14:textId="77777777" w:rsidR="00D17B1E" w:rsidRPr="00A5701A" w:rsidRDefault="00D17B1E" w:rsidP="00A5701A">
            <w:pPr>
              <w:jc w:val="center"/>
              <w:rPr>
                <w:rFonts w:ascii="Times New Roman" w:hAnsi="Times New Roman" w:cs="Times New Roman"/>
                <w:sz w:val="20"/>
                <w:szCs w:val="20"/>
              </w:rPr>
            </w:pPr>
            <w:r w:rsidRPr="00A5701A">
              <w:rPr>
                <w:rFonts w:ascii="Times New Roman" w:eastAsia="Times New Roman" w:hAnsi="Times New Roman" w:cs="Times New Roman"/>
                <w:color w:val="000000"/>
                <w:sz w:val="20"/>
                <w:szCs w:val="20"/>
              </w:rPr>
              <w:t>Desvio Médio</w:t>
            </w:r>
          </w:p>
        </w:tc>
        <w:tc>
          <w:tcPr>
            <w:tcW w:w="3021" w:type="dxa"/>
            <w:shd w:val="clear" w:color="auto" w:fill="auto"/>
            <w:vAlign w:val="center"/>
          </w:tcPr>
          <w:p w14:paraId="3EC34200" w14:textId="77777777" w:rsidR="00D17B1E" w:rsidRPr="00A5701A" w:rsidRDefault="00D17B1E" w:rsidP="00A5701A">
            <w:pPr>
              <w:jc w:val="center"/>
              <w:rPr>
                <w:rFonts w:ascii="Times New Roman" w:hAnsi="Times New Roman" w:cs="Times New Roman"/>
                <w:sz w:val="20"/>
                <w:szCs w:val="20"/>
              </w:rPr>
            </w:pPr>
            <w:r w:rsidRPr="00A5701A">
              <w:rPr>
                <w:rFonts w:ascii="Times New Roman" w:eastAsia="Times New Roman" w:hAnsi="Times New Roman" w:cs="Times New Roman"/>
                <w:color w:val="000000"/>
                <w:sz w:val="20"/>
                <w:szCs w:val="20"/>
              </w:rPr>
              <w:t>56</w:t>
            </w:r>
          </w:p>
        </w:tc>
        <w:tc>
          <w:tcPr>
            <w:tcW w:w="717" w:type="dxa"/>
          </w:tcPr>
          <w:p w14:paraId="63C7D723" w14:textId="77777777" w:rsidR="00D17B1E" w:rsidRPr="00A5701A" w:rsidRDefault="00D17B1E" w:rsidP="00A5701A">
            <w:pPr>
              <w:jc w:val="center"/>
              <w:rPr>
                <w:rFonts w:ascii="Times New Roman" w:hAnsi="Times New Roman" w:cs="Times New Roman"/>
                <w:sz w:val="20"/>
                <w:szCs w:val="20"/>
              </w:rPr>
            </w:pPr>
            <w:r w:rsidRPr="00A5701A">
              <w:rPr>
                <w:rFonts w:ascii="Times New Roman" w:eastAsia="Times New Roman" w:hAnsi="Times New Roman" w:cs="Times New Roman"/>
                <w:color w:val="000000"/>
                <w:sz w:val="20"/>
                <w:szCs w:val="20"/>
              </w:rPr>
              <w:t>12,80</w:t>
            </w:r>
          </w:p>
        </w:tc>
      </w:tr>
      <w:tr w:rsidR="00D17B1E" w14:paraId="77C60E41" w14:textId="77777777" w:rsidTr="00A5701A">
        <w:trPr>
          <w:jc w:val="center"/>
        </w:trPr>
        <w:tc>
          <w:tcPr>
            <w:tcW w:w="1749" w:type="dxa"/>
            <w:vAlign w:val="center"/>
          </w:tcPr>
          <w:p w14:paraId="6B5A9B15" w14:textId="77777777" w:rsidR="00D17B1E" w:rsidRPr="00A5701A" w:rsidRDefault="00D17B1E" w:rsidP="00A5701A">
            <w:pPr>
              <w:jc w:val="center"/>
              <w:rPr>
                <w:rFonts w:ascii="Times New Roman" w:eastAsia="Times New Roman" w:hAnsi="Times New Roman" w:cs="Times New Roman"/>
                <w:color w:val="000000"/>
                <w:sz w:val="20"/>
                <w:szCs w:val="20"/>
              </w:rPr>
            </w:pPr>
            <w:r w:rsidRPr="00A5701A">
              <w:rPr>
                <w:rFonts w:ascii="Times New Roman" w:eastAsia="Times New Roman" w:hAnsi="Times New Roman" w:cs="Times New Roman"/>
                <w:color w:val="000000"/>
                <w:sz w:val="20"/>
                <w:szCs w:val="20"/>
              </w:rPr>
              <w:t>% de efeito</w:t>
            </w:r>
          </w:p>
        </w:tc>
        <w:tc>
          <w:tcPr>
            <w:tcW w:w="3021" w:type="dxa"/>
            <w:shd w:val="clear" w:color="auto" w:fill="auto"/>
            <w:vAlign w:val="center"/>
          </w:tcPr>
          <w:p w14:paraId="0DFC68FF" w14:textId="77777777" w:rsidR="00D17B1E" w:rsidRPr="00A5701A" w:rsidRDefault="00D17B1E" w:rsidP="00A5701A">
            <w:pPr>
              <w:jc w:val="center"/>
              <w:rPr>
                <w:rFonts w:ascii="Times New Roman" w:hAnsi="Times New Roman" w:cs="Times New Roman"/>
                <w:sz w:val="20"/>
                <w:szCs w:val="20"/>
              </w:rPr>
            </w:pPr>
            <w:r w:rsidRPr="00A5701A">
              <w:rPr>
                <w:rFonts w:ascii="Times New Roman" w:eastAsia="Times New Roman" w:hAnsi="Times New Roman" w:cs="Times New Roman"/>
                <w:color w:val="000000"/>
                <w:sz w:val="20"/>
                <w:szCs w:val="20"/>
              </w:rPr>
              <w:t>22,85</w:t>
            </w:r>
          </w:p>
        </w:tc>
        <w:tc>
          <w:tcPr>
            <w:tcW w:w="717" w:type="dxa"/>
          </w:tcPr>
          <w:p w14:paraId="2754B590" w14:textId="77777777" w:rsidR="00D17B1E" w:rsidRPr="00A5701A" w:rsidRDefault="00D17B1E" w:rsidP="00A5701A">
            <w:pPr>
              <w:jc w:val="center"/>
              <w:rPr>
                <w:rFonts w:ascii="Times New Roman" w:hAnsi="Times New Roman" w:cs="Times New Roman"/>
                <w:sz w:val="20"/>
                <w:szCs w:val="20"/>
              </w:rPr>
            </w:pPr>
          </w:p>
        </w:tc>
      </w:tr>
    </w:tbl>
    <w:p w14:paraId="041DD59E" w14:textId="77777777" w:rsidR="00D17B1E" w:rsidRPr="00A5701A" w:rsidRDefault="00D17B1E" w:rsidP="00D17B1E">
      <w:pPr>
        <w:ind w:firstLine="567"/>
        <w:jc w:val="center"/>
        <w:rPr>
          <w:rFonts w:ascii="Times New Roman" w:hAnsi="Times New Roman" w:cs="Times New Roman"/>
          <w:sz w:val="20"/>
          <w:szCs w:val="20"/>
        </w:rPr>
      </w:pPr>
      <w:bookmarkStart w:id="10" w:name="_Hlk58334468"/>
      <w:r w:rsidRPr="00A5701A">
        <w:rPr>
          <w:rFonts w:ascii="Times New Roman" w:hAnsi="Times New Roman" w:cs="Times New Roman"/>
          <w:sz w:val="20"/>
          <w:szCs w:val="20"/>
        </w:rPr>
        <w:t>Fonte: A Autora</w:t>
      </w:r>
    </w:p>
    <w:bookmarkEnd w:id="10"/>
    <w:p w14:paraId="779157A4" w14:textId="62AD9225" w:rsidR="006846A4" w:rsidRPr="00A5701A" w:rsidRDefault="005703F5" w:rsidP="00457483">
      <w:pPr>
        <w:rPr>
          <w:rFonts w:ascii="Times New Roman" w:hAnsi="Times New Roman" w:cs="Times New Roman"/>
          <w:szCs w:val="24"/>
        </w:rPr>
      </w:pPr>
      <w:r w:rsidRPr="00A5701A">
        <w:rPr>
          <w:rFonts w:ascii="Times New Roman" w:hAnsi="Times New Roman" w:cs="Times New Roman"/>
          <w:szCs w:val="24"/>
        </w:rPr>
        <w:t>A cidade de Tóquio passou de 30 no ranking Numbeo para 15 na nova classificação, e está no 32 lugar em Planejamento Urbano e 27 em Tecnologia no ranking do IESE CMI. A cidade de Seoul, passou 40 no ranking Numbeo, para 26 na nova classificação, e está em 32º lugar no Planejamento Urbano e em 27º lugar em Tecnologia no ranking do IESE CMI.</w:t>
      </w:r>
      <w:r w:rsidR="00C97748" w:rsidRPr="00A5701A">
        <w:rPr>
          <w:rFonts w:ascii="Times New Roman" w:hAnsi="Times New Roman" w:cs="Times New Roman"/>
          <w:szCs w:val="24"/>
        </w:rPr>
        <w:t xml:space="preserve"> </w:t>
      </w:r>
      <w:r w:rsidRPr="00A5701A">
        <w:rPr>
          <w:rFonts w:ascii="Times New Roman" w:hAnsi="Times New Roman" w:cs="Times New Roman"/>
          <w:szCs w:val="24"/>
        </w:rPr>
        <w:t xml:space="preserve">A cidade de Chicago passou da posição 50 no ranking Numbeo para  20 na nova classificação, e está em 5º lugar no Planejamento Urbano e em 28º lugar em Tecnologia </w:t>
      </w:r>
      <w:r w:rsidRPr="00A5701A">
        <w:rPr>
          <w:rFonts w:ascii="Times New Roman" w:hAnsi="Times New Roman" w:cs="Times New Roman"/>
          <w:szCs w:val="24"/>
        </w:rPr>
        <w:lastRenderedPageBreak/>
        <w:t>no ranking do IESE  CMI. Nova Iorque passou de 65 no Ranking Numbeo para 24 na nova classificação, e está em 1º lugar em Planejamento Urbano e 5º em tecnologia no IESE CMI. A cidade de Londres passou da posição 75 no ranking da Numbeo para 39 na nova classificação, e está em 7º lugar no Planejamento Urbano e 6º em Tecnologia no ranking do IESE. A cidade de Hong Kong , passou de 85 no ranking Numbeo para 51 na nova classificação, e está no 10º lugar em Planejamento Urbano e 1º lugar em Tecnologia no ranking do IESE CMI. A nova classificação aponta para o fato que os novos indicadores inseridos, de Planejamento Urbano e Tecnologia,</w:t>
      </w:r>
      <w:r w:rsidR="00552BE3">
        <w:rPr>
          <w:rFonts w:ascii="Times New Roman" w:hAnsi="Times New Roman" w:cs="Times New Roman"/>
          <w:szCs w:val="24"/>
        </w:rPr>
        <w:t xml:space="preserve"> influenciam e</w:t>
      </w:r>
      <w:r w:rsidRPr="00A5701A">
        <w:rPr>
          <w:rFonts w:ascii="Times New Roman" w:hAnsi="Times New Roman" w:cs="Times New Roman"/>
          <w:szCs w:val="24"/>
        </w:rPr>
        <w:t xml:space="preserve"> podem melhorar a qualidade de vida sobretudo para as cidades densas.</w:t>
      </w:r>
      <w:r w:rsidR="00D60272" w:rsidRPr="00A5701A">
        <w:rPr>
          <w:rFonts w:ascii="Times New Roman" w:hAnsi="Times New Roman" w:cs="Times New Roman"/>
          <w:szCs w:val="24"/>
        </w:rPr>
        <w:t xml:space="preserve"> </w:t>
      </w:r>
      <w:r w:rsidR="00E3298A" w:rsidRPr="00A5701A">
        <w:rPr>
          <w:rFonts w:ascii="Times New Roman" w:hAnsi="Times New Roman" w:cs="Times New Roman"/>
          <w:szCs w:val="24"/>
        </w:rPr>
        <w:t>A outra análise</w:t>
      </w:r>
      <w:r w:rsidR="001A2370" w:rsidRPr="00A5701A">
        <w:rPr>
          <w:rFonts w:ascii="Times New Roman" w:hAnsi="Times New Roman" w:cs="Times New Roman"/>
          <w:szCs w:val="24"/>
        </w:rPr>
        <w:t xml:space="preserve"> </w:t>
      </w:r>
      <w:r w:rsidR="00481207" w:rsidRPr="00A5701A">
        <w:rPr>
          <w:rFonts w:ascii="Times New Roman" w:hAnsi="Times New Roman" w:cs="Times New Roman"/>
          <w:szCs w:val="24"/>
        </w:rPr>
        <w:t>quantitativa se</w:t>
      </w:r>
      <w:r w:rsidR="00EE30EF" w:rsidRPr="00A5701A">
        <w:rPr>
          <w:rFonts w:ascii="Times New Roman" w:hAnsi="Times New Roman" w:cs="Times New Roman"/>
          <w:szCs w:val="24"/>
        </w:rPr>
        <w:t xml:space="preserve"> atribuiu ao Planejamento Urbano e Tecnologia, respectivamente 0.3 e 0.2, para verificar se a classificação das cidades densas como, Tóquio, Seoul, Chicago, Nova Iorque e Londres, seria expressivo como na classificação 0.5 e 0.4</w:t>
      </w:r>
      <w:r w:rsidR="008E013E" w:rsidRPr="00A5701A">
        <w:rPr>
          <w:rFonts w:ascii="Times New Roman" w:hAnsi="Times New Roman" w:cs="Times New Roman"/>
          <w:szCs w:val="24"/>
        </w:rPr>
        <w:t>.</w:t>
      </w:r>
      <w:r w:rsidR="00EE30EF" w:rsidRPr="00A5701A">
        <w:rPr>
          <w:rFonts w:ascii="Times New Roman" w:hAnsi="Times New Roman" w:cs="Times New Roman"/>
          <w:szCs w:val="24"/>
        </w:rPr>
        <w:t xml:space="preserve"> </w:t>
      </w:r>
      <w:r w:rsidR="00481207" w:rsidRPr="00A5701A">
        <w:rPr>
          <w:rFonts w:ascii="Times New Roman" w:hAnsi="Times New Roman" w:cs="Times New Roman"/>
          <w:szCs w:val="24"/>
        </w:rPr>
        <w:t xml:space="preserve"> </w:t>
      </w:r>
    </w:p>
    <w:p w14:paraId="676828C9" w14:textId="430042D1" w:rsidR="006846A4" w:rsidRPr="00A5701A" w:rsidRDefault="006846A4" w:rsidP="006846A4">
      <w:pPr>
        <w:rPr>
          <w:rFonts w:ascii="Times New Roman" w:hAnsi="Times New Roman" w:cs="Times New Roman"/>
          <w:szCs w:val="24"/>
        </w:rPr>
      </w:pPr>
      <w:r w:rsidRPr="00A5701A">
        <w:rPr>
          <w:rFonts w:ascii="Times New Roman" w:hAnsi="Times New Roman" w:cs="Times New Roman"/>
          <w:szCs w:val="24"/>
        </w:rPr>
        <w:t xml:space="preserve">A equação </w:t>
      </w:r>
      <w:r w:rsidR="00DE0337">
        <w:rPr>
          <w:rFonts w:ascii="Times New Roman" w:hAnsi="Times New Roman" w:cs="Times New Roman"/>
          <w:szCs w:val="24"/>
        </w:rPr>
        <w:t>5</w:t>
      </w:r>
      <w:r w:rsidRPr="00A5701A">
        <w:rPr>
          <w:rFonts w:ascii="Times New Roman" w:hAnsi="Times New Roman" w:cs="Times New Roman"/>
          <w:szCs w:val="24"/>
        </w:rPr>
        <w:t xml:space="preserve"> foi obtida com a inclusão das variáveis de Planejamento Urbano e</w:t>
      </w:r>
      <w:r w:rsidR="00134223">
        <w:rPr>
          <w:rFonts w:ascii="Times New Roman" w:hAnsi="Times New Roman" w:cs="Times New Roman"/>
          <w:szCs w:val="24"/>
        </w:rPr>
        <w:t xml:space="preserve"> Tecnologia</w:t>
      </w:r>
      <w:r w:rsidRPr="00A5701A">
        <w:rPr>
          <w:rFonts w:ascii="Times New Roman" w:hAnsi="Times New Roman" w:cs="Times New Roman"/>
          <w:szCs w:val="24"/>
        </w:rPr>
        <w:t xml:space="preserve"> através da equação 2. </w:t>
      </w:r>
    </w:p>
    <w:tbl>
      <w:tblPr>
        <w:tblStyle w:val="Tabelacomgrade"/>
        <w:tblW w:w="8930" w:type="dxa"/>
        <w:tblInd w:w="279" w:type="dxa"/>
        <w:tblLook w:val="04A0" w:firstRow="1" w:lastRow="0" w:firstColumn="1" w:lastColumn="0" w:noHBand="0" w:noVBand="1"/>
      </w:tblPr>
      <w:tblGrid>
        <w:gridCol w:w="8363"/>
        <w:gridCol w:w="567"/>
      </w:tblGrid>
      <w:tr w:rsidR="006846A4" w:rsidRPr="0005141E" w14:paraId="26E07265" w14:textId="77777777" w:rsidTr="00A5701A">
        <w:tc>
          <w:tcPr>
            <w:tcW w:w="8363" w:type="dxa"/>
          </w:tcPr>
          <w:p w14:paraId="21F185CE" w14:textId="77777777" w:rsidR="006846A4" w:rsidRPr="00A5701A" w:rsidRDefault="006846A4" w:rsidP="00A5701A">
            <w:pPr>
              <w:ind w:left="-142" w:firstLine="709"/>
              <w:jc w:val="center"/>
              <w:rPr>
                <w:rFonts w:ascii="Times New Roman" w:hAnsi="Times New Roman" w:cs="Times New Roman"/>
                <w:sz w:val="20"/>
                <w:szCs w:val="20"/>
              </w:rPr>
            </w:pPr>
            <w:r w:rsidRPr="00A5701A">
              <w:rPr>
                <w:rFonts w:ascii="Times New Roman" w:hAnsi="Times New Roman" w:cs="Times New Roman"/>
                <w:sz w:val="20"/>
                <w:szCs w:val="20"/>
              </w:rPr>
              <w:t>QLI=100+0,4PPI+0,55SI+0,4HCI-0,1COLI-1,0PPIRI-0,5TCTI-0,667PI+0,333CI+0,3UPI+0,2TI</w:t>
            </w:r>
          </w:p>
        </w:tc>
        <w:tc>
          <w:tcPr>
            <w:tcW w:w="567" w:type="dxa"/>
            <w:vAlign w:val="center"/>
          </w:tcPr>
          <w:p w14:paraId="49A7010F" w14:textId="5C204CE2" w:rsidR="006846A4" w:rsidRPr="0005141E" w:rsidRDefault="006846A4" w:rsidP="00A5701A">
            <w:pPr>
              <w:jc w:val="center"/>
              <w:rPr>
                <w:rFonts w:cs="Arial"/>
                <w:sz w:val="20"/>
                <w:szCs w:val="20"/>
              </w:rPr>
            </w:pPr>
            <w:r w:rsidRPr="0005141E">
              <w:rPr>
                <w:rFonts w:cs="Arial"/>
                <w:sz w:val="20"/>
                <w:szCs w:val="20"/>
              </w:rPr>
              <w:t>(</w:t>
            </w:r>
            <w:r w:rsidR="00DE0337">
              <w:rPr>
                <w:rFonts w:cs="Arial"/>
                <w:sz w:val="20"/>
                <w:szCs w:val="20"/>
              </w:rPr>
              <w:t>5</w:t>
            </w:r>
            <w:r w:rsidRPr="0005141E">
              <w:rPr>
                <w:rFonts w:cs="Arial"/>
                <w:sz w:val="20"/>
                <w:szCs w:val="20"/>
              </w:rPr>
              <w:t>)</w:t>
            </w:r>
          </w:p>
        </w:tc>
      </w:tr>
    </w:tbl>
    <w:p w14:paraId="0B914D48" w14:textId="77777777" w:rsidR="006846A4" w:rsidRPr="0005141E" w:rsidRDefault="006846A4" w:rsidP="006846A4">
      <w:pPr>
        <w:rPr>
          <w:sz w:val="20"/>
          <w:szCs w:val="20"/>
          <w:highlight w:val="yellow"/>
        </w:rPr>
      </w:pPr>
    </w:p>
    <w:p w14:paraId="604E8CA9" w14:textId="3569BAE7" w:rsidR="006846A4" w:rsidRPr="00A5701A" w:rsidRDefault="006846A4" w:rsidP="006846A4">
      <w:pPr>
        <w:rPr>
          <w:rFonts w:ascii="Times New Roman" w:hAnsi="Times New Roman" w:cs="Times New Roman"/>
          <w:szCs w:val="24"/>
        </w:rPr>
      </w:pPr>
      <w:r w:rsidRPr="00A5701A">
        <w:rPr>
          <w:rFonts w:ascii="Times New Roman" w:hAnsi="Times New Roman" w:cs="Times New Roman"/>
          <w:szCs w:val="24"/>
        </w:rPr>
        <w:t xml:space="preserve">A denominação das variáveis são as mesmas da equação </w:t>
      </w:r>
      <w:r w:rsidR="00E5752F">
        <w:rPr>
          <w:rFonts w:ascii="Times New Roman" w:hAnsi="Times New Roman" w:cs="Times New Roman"/>
          <w:szCs w:val="24"/>
        </w:rPr>
        <w:t>4</w:t>
      </w:r>
      <w:r w:rsidRPr="00A5701A">
        <w:rPr>
          <w:rFonts w:ascii="Times New Roman" w:hAnsi="Times New Roman" w:cs="Times New Roman"/>
          <w:szCs w:val="24"/>
        </w:rPr>
        <w:t xml:space="preserve"> , variando</w:t>
      </w:r>
      <w:r w:rsidR="00F91880" w:rsidRPr="00A5701A">
        <w:rPr>
          <w:rFonts w:ascii="Times New Roman" w:hAnsi="Times New Roman" w:cs="Times New Roman"/>
          <w:szCs w:val="24"/>
        </w:rPr>
        <w:t xml:space="preserve"> o</w:t>
      </w:r>
      <w:r w:rsidRPr="00A5701A">
        <w:rPr>
          <w:rFonts w:ascii="Times New Roman" w:hAnsi="Times New Roman" w:cs="Times New Roman"/>
          <w:szCs w:val="24"/>
        </w:rPr>
        <w:t xml:space="preserve">  peso para Planejamento Urbano e Tecnologia, Respectivamente 0,3 e 0,2.</w:t>
      </w:r>
    </w:p>
    <w:p w14:paraId="50337BDA" w14:textId="651A9C33" w:rsidR="00481207" w:rsidRPr="00A5701A" w:rsidRDefault="00481207" w:rsidP="006846A4">
      <w:pPr>
        <w:rPr>
          <w:rFonts w:ascii="Times New Roman" w:hAnsi="Times New Roman" w:cs="Times New Roman"/>
          <w:szCs w:val="24"/>
        </w:rPr>
      </w:pPr>
      <w:r w:rsidRPr="00A5701A">
        <w:rPr>
          <w:rFonts w:ascii="Times New Roman" w:hAnsi="Times New Roman" w:cs="Times New Roman"/>
          <w:szCs w:val="24"/>
        </w:rPr>
        <w:t xml:space="preserve">A mobilidade foi de 8,57 posições de um total de 56 possíveis perfazendo-se 15,31% do máximo, conforme apresentado na tabela 10. </w:t>
      </w:r>
    </w:p>
    <w:p w14:paraId="62232FD6" w14:textId="5B0B6D51" w:rsidR="00481207" w:rsidRPr="0030130E" w:rsidRDefault="00481207" w:rsidP="00481207">
      <w:pPr>
        <w:ind w:firstLine="567"/>
        <w:jc w:val="center"/>
        <w:rPr>
          <w:rFonts w:cs="Arial"/>
          <w:b/>
          <w:bCs/>
          <w:sz w:val="20"/>
          <w:szCs w:val="20"/>
        </w:rPr>
      </w:pPr>
      <w:r w:rsidRPr="0030130E">
        <w:rPr>
          <w:rFonts w:cs="Arial"/>
          <w:sz w:val="20"/>
          <w:szCs w:val="20"/>
        </w:rPr>
        <w:t xml:space="preserve">Tabela </w:t>
      </w:r>
      <w:r>
        <w:rPr>
          <w:rFonts w:cs="Arial"/>
          <w:sz w:val="20"/>
          <w:szCs w:val="20"/>
        </w:rPr>
        <w:t>10 – Efeito mobilidade</w:t>
      </w:r>
    </w:p>
    <w:tbl>
      <w:tblPr>
        <w:tblStyle w:val="Tabelacomgrade"/>
        <w:tblW w:w="0" w:type="auto"/>
        <w:jc w:val="center"/>
        <w:tblLook w:val="04A0" w:firstRow="1" w:lastRow="0" w:firstColumn="1" w:lastColumn="0" w:noHBand="0" w:noVBand="1"/>
      </w:tblPr>
      <w:tblGrid>
        <w:gridCol w:w="1749"/>
        <w:gridCol w:w="3021"/>
        <w:gridCol w:w="717"/>
      </w:tblGrid>
      <w:tr w:rsidR="00481207" w14:paraId="4132E310" w14:textId="77777777" w:rsidTr="00A5701A">
        <w:trPr>
          <w:jc w:val="center"/>
        </w:trPr>
        <w:tc>
          <w:tcPr>
            <w:tcW w:w="5487" w:type="dxa"/>
            <w:gridSpan w:val="3"/>
          </w:tcPr>
          <w:p w14:paraId="7AEF162E" w14:textId="77777777" w:rsidR="00481207" w:rsidRPr="00A5701A" w:rsidRDefault="00481207" w:rsidP="00A5701A">
            <w:pPr>
              <w:jc w:val="center"/>
              <w:rPr>
                <w:rFonts w:ascii="Times New Roman" w:hAnsi="Times New Roman" w:cs="Times New Roman"/>
                <w:sz w:val="20"/>
                <w:szCs w:val="20"/>
              </w:rPr>
            </w:pPr>
            <w:r w:rsidRPr="00A5701A">
              <w:rPr>
                <w:rFonts w:ascii="Times New Roman" w:eastAsia="Times New Roman" w:hAnsi="Times New Roman" w:cs="Times New Roman"/>
                <w:b/>
                <w:bCs/>
                <w:color w:val="000000"/>
                <w:sz w:val="20"/>
                <w:szCs w:val="20"/>
              </w:rPr>
              <w:t>Efeito / Mobilidade</w:t>
            </w:r>
          </w:p>
        </w:tc>
      </w:tr>
      <w:tr w:rsidR="00481207" w14:paraId="26F9B4AE" w14:textId="77777777" w:rsidTr="00A5701A">
        <w:trPr>
          <w:jc w:val="center"/>
        </w:trPr>
        <w:tc>
          <w:tcPr>
            <w:tcW w:w="1749" w:type="dxa"/>
            <w:vAlign w:val="center"/>
          </w:tcPr>
          <w:p w14:paraId="583DBC7F" w14:textId="77777777" w:rsidR="00481207" w:rsidRPr="00A5701A" w:rsidRDefault="00481207" w:rsidP="00A5701A">
            <w:pPr>
              <w:jc w:val="center"/>
              <w:rPr>
                <w:rFonts w:ascii="Times New Roman" w:hAnsi="Times New Roman" w:cs="Times New Roman"/>
                <w:sz w:val="20"/>
                <w:szCs w:val="20"/>
              </w:rPr>
            </w:pPr>
            <w:r w:rsidRPr="00A5701A">
              <w:rPr>
                <w:rFonts w:ascii="Times New Roman" w:eastAsia="Times New Roman" w:hAnsi="Times New Roman" w:cs="Times New Roman"/>
                <w:color w:val="000000"/>
                <w:sz w:val="20"/>
                <w:szCs w:val="20"/>
              </w:rPr>
              <w:t>Desvio Médio</w:t>
            </w:r>
          </w:p>
        </w:tc>
        <w:tc>
          <w:tcPr>
            <w:tcW w:w="3021" w:type="dxa"/>
            <w:shd w:val="clear" w:color="auto" w:fill="auto"/>
            <w:vAlign w:val="center"/>
          </w:tcPr>
          <w:p w14:paraId="53752C40" w14:textId="77777777" w:rsidR="00481207" w:rsidRPr="00A5701A" w:rsidRDefault="00481207" w:rsidP="00A5701A">
            <w:pPr>
              <w:jc w:val="center"/>
              <w:rPr>
                <w:rFonts w:ascii="Times New Roman" w:hAnsi="Times New Roman" w:cs="Times New Roman"/>
                <w:sz w:val="20"/>
                <w:szCs w:val="20"/>
              </w:rPr>
            </w:pPr>
            <w:r w:rsidRPr="00A5701A">
              <w:rPr>
                <w:rFonts w:ascii="Times New Roman" w:eastAsia="Times New Roman" w:hAnsi="Times New Roman" w:cs="Times New Roman"/>
                <w:color w:val="000000"/>
                <w:sz w:val="20"/>
                <w:szCs w:val="20"/>
              </w:rPr>
              <w:t>56</w:t>
            </w:r>
          </w:p>
        </w:tc>
        <w:tc>
          <w:tcPr>
            <w:tcW w:w="717" w:type="dxa"/>
          </w:tcPr>
          <w:p w14:paraId="512F8477" w14:textId="77777777" w:rsidR="00481207" w:rsidRPr="00A5701A" w:rsidRDefault="00481207" w:rsidP="00A5701A">
            <w:pPr>
              <w:jc w:val="center"/>
              <w:rPr>
                <w:rFonts w:ascii="Times New Roman" w:hAnsi="Times New Roman" w:cs="Times New Roman"/>
                <w:sz w:val="20"/>
                <w:szCs w:val="20"/>
              </w:rPr>
            </w:pPr>
            <w:r w:rsidRPr="00A5701A">
              <w:rPr>
                <w:rFonts w:ascii="Times New Roman" w:hAnsi="Times New Roman" w:cs="Times New Roman"/>
                <w:sz w:val="20"/>
                <w:szCs w:val="20"/>
              </w:rPr>
              <w:t>8,57</w:t>
            </w:r>
          </w:p>
        </w:tc>
      </w:tr>
      <w:tr w:rsidR="00481207" w14:paraId="13A4622F" w14:textId="77777777" w:rsidTr="00A5701A">
        <w:trPr>
          <w:jc w:val="center"/>
        </w:trPr>
        <w:tc>
          <w:tcPr>
            <w:tcW w:w="1749" w:type="dxa"/>
            <w:vAlign w:val="center"/>
          </w:tcPr>
          <w:p w14:paraId="54953CD2" w14:textId="77777777" w:rsidR="00481207" w:rsidRPr="00A5701A" w:rsidRDefault="00481207" w:rsidP="00A5701A">
            <w:pPr>
              <w:jc w:val="center"/>
              <w:rPr>
                <w:rFonts w:ascii="Times New Roman" w:eastAsia="Times New Roman" w:hAnsi="Times New Roman" w:cs="Times New Roman"/>
                <w:color w:val="000000"/>
                <w:sz w:val="20"/>
                <w:szCs w:val="20"/>
              </w:rPr>
            </w:pPr>
            <w:r w:rsidRPr="00A5701A">
              <w:rPr>
                <w:rFonts w:ascii="Times New Roman" w:eastAsia="Times New Roman" w:hAnsi="Times New Roman" w:cs="Times New Roman"/>
                <w:color w:val="000000"/>
                <w:sz w:val="20"/>
                <w:szCs w:val="20"/>
              </w:rPr>
              <w:t>% de efeito</w:t>
            </w:r>
          </w:p>
        </w:tc>
        <w:tc>
          <w:tcPr>
            <w:tcW w:w="3021" w:type="dxa"/>
            <w:shd w:val="clear" w:color="auto" w:fill="auto"/>
            <w:vAlign w:val="center"/>
          </w:tcPr>
          <w:p w14:paraId="7C4B144F" w14:textId="77777777" w:rsidR="00481207" w:rsidRPr="00A5701A" w:rsidRDefault="00481207" w:rsidP="00A5701A">
            <w:pPr>
              <w:jc w:val="center"/>
              <w:rPr>
                <w:rFonts w:ascii="Times New Roman" w:hAnsi="Times New Roman" w:cs="Times New Roman"/>
                <w:sz w:val="20"/>
                <w:szCs w:val="20"/>
              </w:rPr>
            </w:pPr>
            <w:r w:rsidRPr="00A5701A">
              <w:rPr>
                <w:rFonts w:ascii="Times New Roman" w:hAnsi="Times New Roman" w:cs="Times New Roman"/>
                <w:sz w:val="20"/>
                <w:szCs w:val="20"/>
              </w:rPr>
              <w:t>15,31</w:t>
            </w:r>
          </w:p>
        </w:tc>
        <w:tc>
          <w:tcPr>
            <w:tcW w:w="717" w:type="dxa"/>
          </w:tcPr>
          <w:p w14:paraId="67571A9A" w14:textId="77777777" w:rsidR="00481207" w:rsidRPr="00A5701A" w:rsidRDefault="00481207" w:rsidP="00A5701A">
            <w:pPr>
              <w:jc w:val="center"/>
              <w:rPr>
                <w:rFonts w:ascii="Times New Roman" w:hAnsi="Times New Roman" w:cs="Times New Roman"/>
                <w:sz w:val="20"/>
                <w:szCs w:val="20"/>
              </w:rPr>
            </w:pPr>
          </w:p>
        </w:tc>
      </w:tr>
    </w:tbl>
    <w:p w14:paraId="66CFA0B6" w14:textId="77777777" w:rsidR="00A5701A" w:rsidRPr="00A5701A" w:rsidRDefault="00B0162F" w:rsidP="00A5701A">
      <w:pPr>
        <w:ind w:firstLine="567"/>
        <w:jc w:val="center"/>
        <w:rPr>
          <w:rFonts w:ascii="Times New Roman" w:hAnsi="Times New Roman" w:cs="Times New Roman"/>
          <w:sz w:val="20"/>
          <w:szCs w:val="20"/>
        </w:rPr>
      </w:pPr>
      <w:r>
        <w:rPr>
          <w:rFonts w:cs="Arial"/>
          <w:szCs w:val="24"/>
        </w:rPr>
        <w:t xml:space="preserve"> </w:t>
      </w:r>
      <w:r w:rsidR="00A5701A" w:rsidRPr="00A5701A">
        <w:rPr>
          <w:rFonts w:ascii="Times New Roman" w:hAnsi="Times New Roman" w:cs="Times New Roman"/>
          <w:sz w:val="20"/>
          <w:szCs w:val="20"/>
        </w:rPr>
        <w:t>Fonte: A Autora</w:t>
      </w:r>
    </w:p>
    <w:p w14:paraId="38DC7746" w14:textId="160CE038" w:rsidR="00C90FF6" w:rsidRDefault="00C90FF6" w:rsidP="00AE1931">
      <w:pPr>
        <w:rPr>
          <w:rFonts w:ascii="Times New Roman" w:hAnsi="Times New Roman" w:cs="Times New Roman"/>
          <w:szCs w:val="24"/>
        </w:rPr>
      </w:pPr>
      <w:r w:rsidRPr="00A5701A">
        <w:rPr>
          <w:rFonts w:ascii="Times New Roman" w:hAnsi="Times New Roman" w:cs="Times New Roman"/>
          <w:szCs w:val="24"/>
        </w:rPr>
        <w:t>A cidade de Seoul, passou 40 no ranking Numbeo, para 32 na nova classificação, e está em 32º lugar no Planejamento Urbano e em 27º lugar em Tecnologia no ranking do IESE CMI. A cidade de Chicago</w:t>
      </w:r>
      <w:r w:rsidR="00AF2C9F" w:rsidRPr="00A5701A">
        <w:rPr>
          <w:rFonts w:ascii="Times New Roman" w:hAnsi="Times New Roman" w:cs="Times New Roman"/>
          <w:szCs w:val="24"/>
        </w:rPr>
        <w:t>,</w:t>
      </w:r>
      <w:r w:rsidRPr="00A5701A">
        <w:rPr>
          <w:rFonts w:ascii="Times New Roman" w:hAnsi="Times New Roman" w:cs="Times New Roman"/>
          <w:szCs w:val="24"/>
        </w:rPr>
        <w:t xml:space="preserve"> passou da posição 50 no ranking Numbeo para  29 na nova classificação, e está em 5º lugar no Planejamento Urbano e em 28º lugar em Tecnologia no ranking do IESE  CMI. Nova Iorque, passou de 65 no Ranking Numbeo para 40 na nova classificação, e está em 1º lugar em Planejamento Urbano e 5º em tecnologia no IESE CMI. A cidade de Londres</w:t>
      </w:r>
      <w:r w:rsidR="004E562A" w:rsidRPr="00A5701A">
        <w:rPr>
          <w:rFonts w:ascii="Times New Roman" w:hAnsi="Times New Roman" w:cs="Times New Roman"/>
          <w:szCs w:val="24"/>
        </w:rPr>
        <w:t>,</w:t>
      </w:r>
      <w:r w:rsidRPr="00A5701A">
        <w:rPr>
          <w:rFonts w:ascii="Times New Roman" w:hAnsi="Times New Roman" w:cs="Times New Roman"/>
          <w:szCs w:val="24"/>
        </w:rPr>
        <w:t xml:space="preserve"> passou da posição 75 no ranking da Numbeo para 55 n</w:t>
      </w:r>
      <w:r w:rsidR="004E562A" w:rsidRPr="00A5701A">
        <w:rPr>
          <w:rFonts w:ascii="Times New Roman" w:hAnsi="Times New Roman" w:cs="Times New Roman"/>
          <w:szCs w:val="24"/>
        </w:rPr>
        <w:t>a nova clasisificação,</w:t>
      </w:r>
      <w:r w:rsidRPr="00A5701A">
        <w:rPr>
          <w:rFonts w:ascii="Times New Roman" w:hAnsi="Times New Roman" w:cs="Times New Roman"/>
          <w:szCs w:val="24"/>
        </w:rPr>
        <w:t xml:space="preserve"> e está em 7º lugar no Planejamento Urbano e 6º em Tecnologia no ranking do IESE. A cidade de Hong Kong, passou de 85 no ranking Numbeo para 64 na </w:t>
      </w:r>
      <w:r w:rsidRPr="00A5701A">
        <w:rPr>
          <w:rFonts w:ascii="Times New Roman" w:hAnsi="Times New Roman" w:cs="Times New Roman"/>
          <w:szCs w:val="24"/>
        </w:rPr>
        <w:lastRenderedPageBreak/>
        <w:t>nova classificação, e está no 10º lugar em Planejamento Urbano e 1º lugar em Tecnologia no ranking do IESE CMI. Concluímos que, em ambas as análises as novas classificações apontaram que os novos indicadores devem ser considerados na verificação da qualidade de vida nas cidades, apresentando que podem proporcionar melhora, sobretudo nas densas. Nesta pesquisa o propósito da colaboração da inclusão das duas novas variáveis, Planejamento Urbano e Tecnologia, compondo o Quality of Life Index da NUMBEO, originando uma nova classificação para a qualidade de vida nas  cidades, teve o propósito de mostrar que a inclusão destas duas variáveis tem uma representatividade importante na verificação da qualidade de vida das pessoas que vivem nas cidades. Assim sendo</w:t>
      </w:r>
      <w:r w:rsidR="00376EF0">
        <w:rPr>
          <w:rFonts w:ascii="Times New Roman" w:hAnsi="Times New Roman" w:cs="Times New Roman"/>
          <w:szCs w:val="24"/>
        </w:rPr>
        <w:t xml:space="preserve"> sugerimos que</w:t>
      </w:r>
      <w:r w:rsidRPr="00A5701A">
        <w:rPr>
          <w:rFonts w:ascii="Times New Roman" w:hAnsi="Times New Roman" w:cs="Times New Roman"/>
          <w:szCs w:val="24"/>
        </w:rPr>
        <w:t xml:space="preserve"> os gestores, e profissionais envolvidos com as questões que envolvem a cidade, o bem estar e qualidade de vida   da população que nela habitam, no momento de tomar decisões para a melhora do espaço urbano, lev</w:t>
      </w:r>
      <w:r w:rsidR="00376EF0">
        <w:rPr>
          <w:rFonts w:ascii="Times New Roman" w:hAnsi="Times New Roman" w:cs="Times New Roman"/>
          <w:szCs w:val="24"/>
        </w:rPr>
        <w:t>em</w:t>
      </w:r>
      <w:r w:rsidRPr="00A5701A">
        <w:rPr>
          <w:rFonts w:ascii="Times New Roman" w:hAnsi="Times New Roman" w:cs="Times New Roman"/>
          <w:szCs w:val="24"/>
        </w:rPr>
        <w:t xml:space="preserve"> em considerações esses fatores.</w:t>
      </w:r>
    </w:p>
    <w:p w14:paraId="07027AAC" w14:textId="77777777" w:rsidR="005627FC" w:rsidRPr="00A5701A" w:rsidRDefault="005627FC" w:rsidP="00AE1931">
      <w:pPr>
        <w:rPr>
          <w:rFonts w:ascii="Times New Roman" w:hAnsi="Times New Roman" w:cs="Times New Roman"/>
          <w:szCs w:val="24"/>
        </w:rPr>
      </w:pPr>
    </w:p>
    <w:p w14:paraId="5FDB1C58" w14:textId="64C8D03A" w:rsidR="00E12B64" w:rsidRPr="00A5701A" w:rsidRDefault="00E12B64" w:rsidP="00E12B64">
      <w:pPr>
        <w:rPr>
          <w:rFonts w:ascii="Times New Roman" w:hAnsi="Times New Roman" w:cs="Times New Roman"/>
          <w:b/>
          <w:bCs/>
        </w:rPr>
      </w:pPr>
      <w:r w:rsidRPr="00A5701A">
        <w:rPr>
          <w:rFonts w:ascii="Times New Roman" w:hAnsi="Times New Roman" w:cs="Times New Roman"/>
          <w:b/>
          <w:bCs/>
        </w:rPr>
        <w:t>5. CONCLUSÃO</w:t>
      </w:r>
    </w:p>
    <w:p w14:paraId="69AF7EE2" w14:textId="5D47F8F2" w:rsidR="003B719E" w:rsidRDefault="00CA764D" w:rsidP="00296E31">
      <w:pPr>
        <w:ind w:right="30"/>
        <w:rPr>
          <w:rFonts w:ascii="Times New Roman" w:hAnsi="Times New Roman" w:cs="Times New Roman"/>
          <w:szCs w:val="24"/>
        </w:rPr>
      </w:pPr>
      <w:r w:rsidRPr="00A5701A">
        <w:rPr>
          <w:rFonts w:ascii="Times New Roman" w:hAnsi="Times New Roman" w:cs="Times New Roman"/>
          <w:szCs w:val="24"/>
        </w:rPr>
        <w:t xml:space="preserve">De acordo com as análises estatísticas, concluímos que a densidade tem correlação com a qualidade de vida. Entretanto, com um percentual menor que o poder de explicação das próprias variáveis que compõe o índice de qualidade de vida da Numbeo, não sendo razoável inserir a densidade como mais uma variável. Significando que as variáveis que formam a qualidade de vida, Purchasing Power  Index, Safety Index, Health Care Index. Cost of living Index, Property Price to Income ratio, Traffic Commute TimeIndex, Climate Index, explicam percentualmente mais o comportamento da densidade populacional que a densidade populacional explica da qualidade de vida. </w:t>
      </w:r>
      <w:r w:rsidR="00530859" w:rsidRPr="00A5701A">
        <w:rPr>
          <w:rFonts w:ascii="Times New Roman" w:hAnsi="Times New Roman" w:cs="Times New Roman"/>
          <w:szCs w:val="24"/>
        </w:rPr>
        <w:t xml:space="preserve">As variáveis que causam a perda de qualidade de vida nas cidades de acordo com o método estatístico Backward no Quality of Life Numbeo, são  Safety Index, Cost of Living Index, Property Price in come Ratio Index, Traffic Commute Time Index, Pollution Index. </w:t>
      </w:r>
      <w:r w:rsidR="00F2638C" w:rsidRPr="00A5701A">
        <w:rPr>
          <w:rFonts w:ascii="Times New Roman" w:hAnsi="Times New Roman" w:cs="Times New Roman"/>
          <w:szCs w:val="24"/>
        </w:rPr>
        <w:t xml:space="preserve"> Interpretando que o crescimento populacional deixa mais evidenciado uma série de problemas como falta de segurança, tendo necessidade de implementação de medidas efetivas, para a demanda crescente de pessoas nos centros urbanos. O custo de vida tende a aumentar com consequências na relação dos preços da propriedade em relação a renda pois haverá menor oferta e mais procura. A mobilidade urbana será dificultada pelos deslocamentos, pois haverá um maior número de pessoas se deslocando pelos espaços urbanos para fazer as atividades diárias principalmente as laborais, se ainda estiver</w:t>
      </w:r>
      <w:r w:rsidR="00756A8D">
        <w:rPr>
          <w:rFonts w:ascii="Times New Roman" w:hAnsi="Times New Roman" w:cs="Times New Roman"/>
          <w:szCs w:val="24"/>
        </w:rPr>
        <w:t>em</w:t>
      </w:r>
      <w:r w:rsidR="00F2638C" w:rsidRPr="00A5701A">
        <w:rPr>
          <w:rFonts w:ascii="Times New Roman" w:hAnsi="Times New Roman" w:cs="Times New Roman"/>
          <w:szCs w:val="24"/>
        </w:rPr>
        <w:t xml:space="preserve"> concentrad</w:t>
      </w:r>
      <w:r w:rsidR="00756A8D">
        <w:rPr>
          <w:rFonts w:ascii="Times New Roman" w:hAnsi="Times New Roman" w:cs="Times New Roman"/>
          <w:szCs w:val="24"/>
        </w:rPr>
        <w:t>as</w:t>
      </w:r>
      <w:r w:rsidR="00F2638C" w:rsidRPr="00A5701A">
        <w:rPr>
          <w:rFonts w:ascii="Times New Roman" w:hAnsi="Times New Roman" w:cs="Times New Roman"/>
          <w:szCs w:val="24"/>
        </w:rPr>
        <w:t xml:space="preserve"> nas áreas centrais, incentivando o deslocamento das pessoas ainda pelo transporte individual motorizado provocando o movimento pendular</w:t>
      </w:r>
      <w:r w:rsidR="00EE201A">
        <w:rPr>
          <w:rFonts w:ascii="Times New Roman" w:hAnsi="Times New Roman" w:cs="Times New Roman"/>
          <w:szCs w:val="24"/>
        </w:rPr>
        <w:t xml:space="preserve">. Esse modal de deslocamento  é </w:t>
      </w:r>
      <w:r w:rsidR="00EE201A">
        <w:rPr>
          <w:rFonts w:ascii="Times New Roman" w:hAnsi="Times New Roman" w:cs="Times New Roman"/>
          <w:szCs w:val="24"/>
        </w:rPr>
        <w:lastRenderedPageBreak/>
        <w:t xml:space="preserve">incentivado </w:t>
      </w:r>
      <w:r w:rsidR="00F2638C" w:rsidRPr="00A5701A">
        <w:rPr>
          <w:rFonts w:ascii="Times New Roman" w:hAnsi="Times New Roman" w:cs="Times New Roman"/>
          <w:szCs w:val="24"/>
        </w:rPr>
        <w:t xml:space="preserve">  pela ineficiência</w:t>
      </w:r>
      <w:r w:rsidR="00C90B04">
        <w:rPr>
          <w:rFonts w:ascii="Times New Roman" w:hAnsi="Times New Roman" w:cs="Times New Roman"/>
          <w:szCs w:val="24"/>
        </w:rPr>
        <w:t xml:space="preserve"> ou falta </w:t>
      </w:r>
      <w:r w:rsidR="00F2638C" w:rsidRPr="00A5701A">
        <w:rPr>
          <w:rFonts w:ascii="Times New Roman" w:hAnsi="Times New Roman" w:cs="Times New Roman"/>
          <w:szCs w:val="24"/>
        </w:rPr>
        <w:t xml:space="preserve"> d</w:t>
      </w:r>
      <w:r w:rsidR="00C90B04">
        <w:rPr>
          <w:rFonts w:ascii="Times New Roman" w:hAnsi="Times New Roman" w:cs="Times New Roman"/>
          <w:szCs w:val="24"/>
        </w:rPr>
        <w:t>e</w:t>
      </w:r>
      <w:r w:rsidR="00F2638C" w:rsidRPr="00A5701A">
        <w:rPr>
          <w:rFonts w:ascii="Times New Roman" w:hAnsi="Times New Roman" w:cs="Times New Roman"/>
          <w:szCs w:val="24"/>
        </w:rPr>
        <w:t xml:space="preserve"> oferta d</w:t>
      </w:r>
      <w:r w:rsidR="00341657">
        <w:rPr>
          <w:rFonts w:ascii="Times New Roman" w:hAnsi="Times New Roman" w:cs="Times New Roman"/>
          <w:szCs w:val="24"/>
        </w:rPr>
        <w:t>e</w:t>
      </w:r>
      <w:r w:rsidR="00F2638C" w:rsidRPr="00A5701A">
        <w:rPr>
          <w:rFonts w:ascii="Times New Roman" w:hAnsi="Times New Roman" w:cs="Times New Roman"/>
          <w:szCs w:val="24"/>
        </w:rPr>
        <w:t xml:space="preserve"> transporte público</w:t>
      </w:r>
      <w:r w:rsidR="00C90B04">
        <w:rPr>
          <w:rFonts w:ascii="Times New Roman" w:hAnsi="Times New Roman" w:cs="Times New Roman"/>
          <w:szCs w:val="24"/>
        </w:rPr>
        <w:t xml:space="preserve"> em quantidade suficiente ou  </w:t>
      </w:r>
      <w:r w:rsidR="00F2638C" w:rsidRPr="00A5701A">
        <w:rPr>
          <w:rFonts w:ascii="Times New Roman" w:hAnsi="Times New Roman" w:cs="Times New Roman"/>
          <w:szCs w:val="24"/>
        </w:rPr>
        <w:t xml:space="preserve"> de qualidade</w:t>
      </w:r>
      <w:r w:rsidR="00F83803">
        <w:rPr>
          <w:rFonts w:ascii="Times New Roman" w:hAnsi="Times New Roman" w:cs="Times New Roman"/>
          <w:szCs w:val="24"/>
        </w:rPr>
        <w:t xml:space="preserve"> principalmente nas cidades que tem esturutra deficitária para a mobilidade</w:t>
      </w:r>
      <w:r w:rsidR="00137E99">
        <w:rPr>
          <w:rFonts w:ascii="Times New Roman" w:hAnsi="Times New Roman" w:cs="Times New Roman"/>
          <w:szCs w:val="24"/>
        </w:rPr>
        <w:t xml:space="preserve"> urbana</w:t>
      </w:r>
      <w:r w:rsidR="00CD599A">
        <w:rPr>
          <w:rFonts w:ascii="Times New Roman" w:hAnsi="Times New Roman" w:cs="Times New Roman"/>
          <w:szCs w:val="24"/>
        </w:rPr>
        <w:t>. Ou</w:t>
      </w:r>
      <w:r w:rsidR="00341657">
        <w:rPr>
          <w:rFonts w:ascii="Times New Roman" w:hAnsi="Times New Roman" w:cs="Times New Roman"/>
          <w:szCs w:val="24"/>
        </w:rPr>
        <w:t xml:space="preserve">tra interferência é a ausência </w:t>
      </w:r>
      <w:r w:rsidR="00F2638C" w:rsidRPr="00A5701A">
        <w:rPr>
          <w:rFonts w:ascii="Times New Roman" w:hAnsi="Times New Roman" w:cs="Times New Roman"/>
          <w:szCs w:val="24"/>
        </w:rPr>
        <w:t>da intermodalidade entre outros meios de transporte como os não motorizados</w:t>
      </w:r>
      <w:r w:rsidR="00E34B81">
        <w:rPr>
          <w:rFonts w:ascii="Times New Roman" w:hAnsi="Times New Roman" w:cs="Times New Roman"/>
          <w:szCs w:val="24"/>
        </w:rPr>
        <w:t>,</w:t>
      </w:r>
      <w:r w:rsidR="00F2638C" w:rsidRPr="00A5701A">
        <w:rPr>
          <w:rFonts w:ascii="Times New Roman" w:hAnsi="Times New Roman" w:cs="Times New Roman"/>
          <w:szCs w:val="24"/>
        </w:rPr>
        <w:t xml:space="preserve"> como por exemplo, a adoção de ciclovias  fazendo parte efetiva da malha viária. Tendo como consequência o aumento da poluição</w:t>
      </w:r>
      <w:r w:rsidR="00E849BE">
        <w:rPr>
          <w:rFonts w:ascii="Times New Roman" w:hAnsi="Times New Roman" w:cs="Times New Roman"/>
          <w:szCs w:val="24"/>
        </w:rPr>
        <w:t xml:space="preserve"> </w:t>
      </w:r>
      <w:r w:rsidR="004C7D16">
        <w:rPr>
          <w:rFonts w:ascii="Times New Roman" w:hAnsi="Times New Roman" w:cs="Times New Roman"/>
          <w:szCs w:val="24"/>
        </w:rPr>
        <w:t>e a degradação do meio ambiente</w:t>
      </w:r>
      <w:r w:rsidR="00F2638C" w:rsidRPr="00A5701A">
        <w:rPr>
          <w:rFonts w:ascii="Times New Roman" w:hAnsi="Times New Roman" w:cs="Times New Roman"/>
          <w:szCs w:val="24"/>
        </w:rPr>
        <w:t>.  Entretanto, destacamos que a densidade quando bem planejada, com a verticalização das edificações, contribuindo para a compactação das cidades, podendo citar como exemplo a cidade de Hong Kong e Songdo, e o estudo de Douglas Farr</w:t>
      </w:r>
      <w:r w:rsidR="00C65F8D">
        <w:rPr>
          <w:rFonts w:ascii="Times New Roman" w:hAnsi="Times New Roman" w:cs="Times New Roman"/>
          <w:szCs w:val="24"/>
        </w:rPr>
        <w:t xml:space="preserve"> </w:t>
      </w:r>
      <w:r w:rsidR="00F2638C" w:rsidRPr="00A5701A">
        <w:rPr>
          <w:rFonts w:ascii="Times New Roman" w:hAnsi="Times New Roman" w:cs="Times New Roman"/>
          <w:szCs w:val="24"/>
        </w:rPr>
        <w:t xml:space="preserve">(2013), apresentados nesta pesquisa, não se caracteriza como um problema e sim uma solução resultante do Planejamento Urbano e soluções Tecnológicas bem estruturadas. </w:t>
      </w:r>
    </w:p>
    <w:p w14:paraId="423D6793" w14:textId="025F71A9" w:rsidR="003B719E" w:rsidRDefault="00F2638C" w:rsidP="00665B75">
      <w:pPr>
        <w:ind w:right="30"/>
        <w:rPr>
          <w:rFonts w:cs="Arial"/>
          <w:szCs w:val="24"/>
        </w:rPr>
      </w:pPr>
      <w:r w:rsidRPr="00A5701A">
        <w:rPr>
          <w:rFonts w:ascii="Times New Roman" w:hAnsi="Times New Roman" w:cs="Times New Roman"/>
          <w:szCs w:val="24"/>
        </w:rPr>
        <w:t>Foram inseridas duas novas variáveis, Planejamento Urbano e Tecnologia, consideradas relevantes baseadas na pesquisa documental, originando uma nova classificação. Verificamos que houve uma mudança expressiva na ordenação original da Numbeo, com um impacto para as cidades densas como Hong Kong/ China, Nova Iorque/ EUA, Londres/ Reino Unido, Chicago/ EUA , Tóquio / Japão e Seoul/ Coréia do Sul</w:t>
      </w:r>
      <w:r w:rsidR="003B719E">
        <w:rPr>
          <w:rFonts w:ascii="Times New Roman" w:hAnsi="Times New Roman" w:cs="Times New Roman"/>
          <w:szCs w:val="24"/>
        </w:rPr>
        <w:t xml:space="preserve">, </w:t>
      </w:r>
      <w:r w:rsidR="003B719E" w:rsidRPr="003B719E">
        <w:rPr>
          <w:rFonts w:ascii="Times New Roman" w:hAnsi="Times New Roman" w:cs="Times New Roman"/>
          <w:szCs w:val="24"/>
        </w:rPr>
        <w:t>assim como também houve cidades que perderam posições com o novo ranqueamento, como é o caso de  Vancouver no Canadá.</w:t>
      </w:r>
      <w:r w:rsidR="00665B75">
        <w:rPr>
          <w:rFonts w:ascii="Times New Roman" w:hAnsi="Times New Roman" w:cs="Times New Roman"/>
          <w:szCs w:val="24"/>
        </w:rPr>
        <w:t xml:space="preserve"> </w:t>
      </w:r>
      <w:r w:rsidR="003B719E" w:rsidRPr="003B719E">
        <w:rPr>
          <w:rFonts w:ascii="Times New Roman" w:hAnsi="Times New Roman" w:cs="Times New Roman"/>
          <w:szCs w:val="24"/>
        </w:rPr>
        <w:t>Os indicadores de Tecnologia e Planejamento Urbano, não estão comtemplados do Quality of Life Index Numbeo, entretanto, através da análise, foi apresentado que eles são relevantes e devem ser levados em consideração na verificação da qualidade de vida para as pessoas que habitam os centros urbanos, pois quando eles foram inseridos houve uma mudança na classificação</w:t>
      </w:r>
      <w:r w:rsidR="003B719E">
        <w:rPr>
          <w:rFonts w:cs="Arial"/>
          <w:szCs w:val="24"/>
        </w:rPr>
        <w:t xml:space="preserve">. </w:t>
      </w:r>
    </w:p>
    <w:p w14:paraId="229813B9" w14:textId="77777777" w:rsidR="005D1353" w:rsidRDefault="005D1353" w:rsidP="00665B75">
      <w:pPr>
        <w:ind w:right="30"/>
        <w:rPr>
          <w:rFonts w:cs="Arial"/>
          <w:szCs w:val="24"/>
        </w:rPr>
      </w:pPr>
    </w:p>
    <w:p w14:paraId="3BE47D55" w14:textId="0B35C759" w:rsidR="00CE1819" w:rsidRDefault="006458EB" w:rsidP="00E34B81">
      <w:pPr>
        <w:rPr>
          <w:rFonts w:ascii="Times New Roman" w:hAnsi="Times New Roman" w:cs="Times New Roman"/>
          <w:b/>
          <w:bCs/>
          <w:lang w:val="en-US"/>
        </w:rPr>
      </w:pPr>
      <w:r>
        <w:rPr>
          <w:rFonts w:ascii="Times New Roman" w:hAnsi="Times New Roman" w:cs="Times New Roman"/>
          <w:b/>
          <w:bCs/>
          <w:lang w:val="en-US"/>
        </w:rPr>
        <w:t>6</w:t>
      </w:r>
      <w:r w:rsidR="00CE1819" w:rsidRPr="00A5701A">
        <w:rPr>
          <w:rFonts w:ascii="Times New Roman" w:hAnsi="Times New Roman" w:cs="Times New Roman"/>
          <w:b/>
          <w:bCs/>
          <w:lang w:val="en-US"/>
        </w:rPr>
        <w:t xml:space="preserve">. </w:t>
      </w:r>
      <w:r w:rsidR="00395E35" w:rsidRPr="00A5701A">
        <w:rPr>
          <w:rFonts w:ascii="Times New Roman" w:hAnsi="Times New Roman" w:cs="Times New Roman"/>
          <w:b/>
          <w:bCs/>
          <w:lang w:val="en-US"/>
        </w:rPr>
        <w:t>REFERÊNCIAS BIBLIOGRÁFICAS</w:t>
      </w:r>
    </w:p>
    <w:p w14:paraId="4C716B7B" w14:textId="77777777" w:rsidR="00A42F98" w:rsidRPr="0056375F" w:rsidRDefault="00A42F98" w:rsidP="00E34B81">
      <w:pPr>
        <w:rPr>
          <w:rFonts w:ascii="Times New Roman" w:hAnsi="Times New Roman" w:cs="Times New Roman"/>
          <w:lang w:val="en-US"/>
        </w:rPr>
      </w:pPr>
      <w:r w:rsidRPr="00A42F98">
        <w:rPr>
          <w:rFonts w:ascii="Times New Roman" w:hAnsi="Times New Roman" w:cs="Times New Roman"/>
          <w:lang w:val="en-US"/>
        </w:rPr>
        <w:t xml:space="preserve">DAY, H.; JANKEY, S.G. Lessons from the literature: toward a holistic model of quality of life. In: RENWICK, R.; BROWN, I.; NAGLER, M. (Eds.). Quality of life in health promotion and rehabilitation: conceptual approaches, issues and applications. </w:t>
      </w:r>
      <w:r w:rsidRPr="0056375F">
        <w:rPr>
          <w:rFonts w:ascii="Times New Roman" w:hAnsi="Times New Roman" w:cs="Times New Roman"/>
          <w:lang w:val="en-US"/>
        </w:rPr>
        <w:t>Thousand Oaks: Sage, 1996.</w:t>
      </w:r>
    </w:p>
    <w:p w14:paraId="4635E81D" w14:textId="52BA365B" w:rsidR="00BA28AF" w:rsidRPr="00A5701A" w:rsidRDefault="00BA28AF" w:rsidP="00E34B81">
      <w:pPr>
        <w:pStyle w:val="Cabealho"/>
        <w:tabs>
          <w:tab w:val="clear" w:pos="4419"/>
          <w:tab w:val="clear" w:pos="8838"/>
        </w:tabs>
        <w:spacing w:line="360" w:lineRule="auto"/>
        <w:jc w:val="left"/>
        <w:rPr>
          <w:szCs w:val="24"/>
        </w:rPr>
      </w:pPr>
      <w:r w:rsidRPr="00A5701A">
        <w:rPr>
          <w:szCs w:val="24"/>
          <w:lang w:val="en-US"/>
        </w:rPr>
        <w:t xml:space="preserve">Demographia World Urban Areas </w:t>
      </w:r>
      <w:r w:rsidRPr="00A5701A">
        <w:rPr>
          <w:lang w:val="en-US"/>
        </w:rPr>
        <w:t xml:space="preserve">(Built Up Urban Areas or World  Agglomerations), 14 Annual Edition. </w:t>
      </w:r>
      <w:r w:rsidRPr="00A5701A">
        <w:t>April, 2018. Disponível em</w:t>
      </w:r>
      <w:r w:rsidR="00ED6568">
        <w:t>:</w:t>
      </w:r>
      <w:r w:rsidRPr="00A5701A">
        <w:t xml:space="preserve"> </w:t>
      </w:r>
      <w:hyperlink r:id="rId8" w:history="1">
        <w:r w:rsidRPr="00ED6568">
          <w:rPr>
            <w:rStyle w:val="Hyperlink"/>
            <w:color w:val="000000" w:themeColor="text1"/>
            <w:u w:val="none"/>
          </w:rPr>
          <w:t>http://www.demographia.com/db-worldua.pdf</w:t>
        </w:r>
      </w:hyperlink>
      <w:r w:rsidRPr="00ED6568">
        <w:rPr>
          <w:color w:val="000000" w:themeColor="text1"/>
        </w:rPr>
        <w:t xml:space="preserve"> </w:t>
      </w:r>
      <w:r w:rsidR="00ED6568">
        <w:rPr>
          <w:color w:val="000000" w:themeColor="text1"/>
        </w:rPr>
        <w:t>.</w:t>
      </w:r>
      <w:r w:rsidRPr="00A5701A">
        <w:rPr>
          <w:color w:val="000000" w:themeColor="text1"/>
        </w:rPr>
        <w:t xml:space="preserve"> </w:t>
      </w:r>
      <w:r w:rsidRPr="00A5701A">
        <w:t>Acesso</w:t>
      </w:r>
      <w:r w:rsidR="0060013C">
        <w:t xml:space="preserve"> em</w:t>
      </w:r>
      <w:r w:rsidRPr="00A5701A">
        <w:t>: abril de 2018.</w:t>
      </w:r>
    </w:p>
    <w:p w14:paraId="1D168517" w14:textId="0BFF971F" w:rsidR="00BA28AF" w:rsidRPr="00A5701A" w:rsidRDefault="00BA28AF" w:rsidP="00E34B81">
      <w:pPr>
        <w:pStyle w:val="Cabealho"/>
        <w:tabs>
          <w:tab w:val="clear" w:pos="4419"/>
          <w:tab w:val="clear" w:pos="8838"/>
        </w:tabs>
        <w:spacing w:line="360" w:lineRule="auto"/>
        <w:jc w:val="left"/>
        <w:rPr>
          <w:szCs w:val="24"/>
          <w:lang w:val="en-US"/>
        </w:rPr>
      </w:pPr>
      <w:r w:rsidRPr="00A5701A">
        <w:rPr>
          <w:szCs w:val="24"/>
          <w:lang w:val="en-US"/>
        </w:rPr>
        <w:t>Density: drivers dividends and debates. Manual, Urban Land Institute. Chicago June 2015. Disponível em</w:t>
      </w:r>
      <w:r w:rsidR="00ED35C7">
        <w:rPr>
          <w:szCs w:val="24"/>
          <w:lang w:val="en-US"/>
        </w:rPr>
        <w:t>:</w:t>
      </w:r>
      <w:r w:rsidRPr="00A5701A">
        <w:rPr>
          <w:szCs w:val="24"/>
          <w:lang w:val="en-US"/>
        </w:rPr>
        <w:t xml:space="preserve"> </w:t>
      </w:r>
      <w:r w:rsidRPr="00A5701A">
        <w:rPr>
          <w:lang w:val="en-US"/>
        </w:rPr>
        <w:t xml:space="preserve"> </w:t>
      </w:r>
      <w:hyperlink r:id="rId9" w:history="1">
        <w:r w:rsidRPr="00ED35C7">
          <w:rPr>
            <w:rStyle w:val="Hyperlink"/>
            <w:color w:val="000000" w:themeColor="text1"/>
            <w:szCs w:val="24"/>
            <w:u w:val="none"/>
            <w:lang w:val="en-US"/>
          </w:rPr>
          <w:t>https://europe.uli.org</w:t>
        </w:r>
      </w:hyperlink>
      <w:r w:rsidR="00ED35C7">
        <w:rPr>
          <w:rStyle w:val="Hyperlink"/>
          <w:color w:val="000000" w:themeColor="text1"/>
          <w:szCs w:val="24"/>
          <w:u w:val="none"/>
          <w:lang w:val="en-US"/>
        </w:rPr>
        <w:t>.</w:t>
      </w:r>
      <w:r w:rsidRPr="00A5701A">
        <w:rPr>
          <w:szCs w:val="24"/>
          <w:lang w:val="en-US"/>
        </w:rPr>
        <w:t xml:space="preserve"> Acesso</w:t>
      </w:r>
      <w:r w:rsidR="0060013C">
        <w:rPr>
          <w:szCs w:val="24"/>
          <w:lang w:val="en-US"/>
        </w:rPr>
        <w:t xml:space="preserve"> em</w:t>
      </w:r>
      <w:r w:rsidRPr="00A5701A">
        <w:rPr>
          <w:szCs w:val="24"/>
          <w:lang w:val="en-US"/>
        </w:rPr>
        <w:t>: de 2018.</w:t>
      </w:r>
    </w:p>
    <w:p w14:paraId="03FC940F" w14:textId="77777777" w:rsidR="00BA28AF" w:rsidRPr="00A5701A" w:rsidRDefault="00BA28AF" w:rsidP="00E34B81">
      <w:pPr>
        <w:pStyle w:val="Cabealho"/>
        <w:tabs>
          <w:tab w:val="clear" w:pos="4419"/>
          <w:tab w:val="clear" w:pos="8838"/>
        </w:tabs>
        <w:spacing w:line="360" w:lineRule="auto"/>
        <w:jc w:val="left"/>
        <w:rPr>
          <w:szCs w:val="24"/>
          <w:lang w:val="en-US"/>
        </w:rPr>
      </w:pPr>
      <w:r w:rsidRPr="00A5701A">
        <w:rPr>
          <w:szCs w:val="24"/>
          <w:lang w:val="en-US"/>
        </w:rPr>
        <w:t>Density and Urban Neighbourhouds in London. Enterprise LSE Cities Ltda 2004.</w:t>
      </w:r>
    </w:p>
    <w:p w14:paraId="4B691F80" w14:textId="77777777" w:rsidR="00BA28AF" w:rsidRPr="00A5701A" w:rsidRDefault="00BA28AF" w:rsidP="00E34B81">
      <w:pPr>
        <w:pStyle w:val="Cabealho"/>
        <w:tabs>
          <w:tab w:val="clear" w:pos="4419"/>
          <w:tab w:val="clear" w:pos="8838"/>
        </w:tabs>
        <w:spacing w:line="360" w:lineRule="auto"/>
        <w:jc w:val="left"/>
        <w:rPr>
          <w:szCs w:val="24"/>
        </w:rPr>
      </w:pPr>
      <w:r w:rsidRPr="00A5701A">
        <w:rPr>
          <w:szCs w:val="24"/>
        </w:rPr>
        <w:lastRenderedPageBreak/>
        <w:t>FARR, Douglas. Urbanismo Sustentável: Desenho urbano com natureza. Tradução de Alexandre Salvaterra. Bookman, Porto Alegre, 2013.</w:t>
      </w:r>
    </w:p>
    <w:p w14:paraId="1AEA51B6" w14:textId="77777777" w:rsidR="00BA28AF" w:rsidRPr="00A5701A" w:rsidRDefault="00BA28AF" w:rsidP="00E34B81">
      <w:pPr>
        <w:pStyle w:val="Cabealho"/>
        <w:tabs>
          <w:tab w:val="clear" w:pos="4419"/>
          <w:tab w:val="clear" w:pos="8838"/>
          <w:tab w:val="left" w:pos="5954"/>
        </w:tabs>
        <w:spacing w:line="360" w:lineRule="auto"/>
        <w:jc w:val="left"/>
        <w:rPr>
          <w:szCs w:val="24"/>
        </w:rPr>
      </w:pPr>
      <w:r w:rsidRPr="00A5701A">
        <w:rPr>
          <w:szCs w:val="24"/>
        </w:rPr>
        <w:t>FÁVERO, Luiz Paulo,et al. Análise de dados. Modelagem Multivariada para Tomada de Decisões.  Rio de Janeiro, Elsevier, 2009.</w:t>
      </w:r>
    </w:p>
    <w:p w14:paraId="55F14938" w14:textId="77777777" w:rsidR="00BA28AF" w:rsidRPr="00A5701A" w:rsidRDefault="00BA28AF" w:rsidP="00E34B81">
      <w:pPr>
        <w:pStyle w:val="Cabealho"/>
        <w:tabs>
          <w:tab w:val="clear" w:pos="4419"/>
          <w:tab w:val="clear" w:pos="8838"/>
        </w:tabs>
        <w:spacing w:line="360" w:lineRule="auto"/>
        <w:jc w:val="left"/>
        <w:rPr>
          <w:szCs w:val="24"/>
          <w:lang w:val="en-US"/>
        </w:rPr>
      </w:pPr>
      <w:r w:rsidRPr="00A5701A">
        <w:rPr>
          <w:szCs w:val="24"/>
        </w:rPr>
        <w:t xml:space="preserve">HALL, Edward T. A Dimensão Oculta. </w:t>
      </w:r>
      <w:r w:rsidRPr="00A5701A">
        <w:rPr>
          <w:szCs w:val="24"/>
          <w:lang w:val="en-US"/>
        </w:rPr>
        <w:t>Martins Fontes, São Paulo, 2005.</w:t>
      </w:r>
    </w:p>
    <w:p w14:paraId="3BAB9A87" w14:textId="77777777" w:rsidR="00BA28AF" w:rsidRPr="00A5701A" w:rsidRDefault="00BA28AF" w:rsidP="00E34B81">
      <w:pPr>
        <w:rPr>
          <w:rFonts w:ascii="Times New Roman" w:hAnsi="Times New Roman" w:cs="Times New Roman"/>
          <w:szCs w:val="24"/>
        </w:rPr>
      </w:pPr>
      <w:r w:rsidRPr="00A5701A">
        <w:rPr>
          <w:rFonts w:ascii="Times New Roman" w:hAnsi="Times New Roman" w:cs="Times New Roman"/>
          <w:szCs w:val="24"/>
          <w:lang w:val="en-US"/>
        </w:rPr>
        <w:t xml:space="preserve">IESE Business School , University  of  Navarra – IESE Citie in Motion.  </w:t>
      </w:r>
      <w:r w:rsidRPr="00A5701A">
        <w:rPr>
          <w:rFonts w:ascii="Times New Roman" w:hAnsi="Times New Roman" w:cs="Times New Roman"/>
          <w:szCs w:val="24"/>
        </w:rPr>
        <w:t>Edição anual, 2018.</w:t>
      </w:r>
    </w:p>
    <w:p w14:paraId="218C3A38" w14:textId="1456601B" w:rsidR="00BA28AF" w:rsidRDefault="00BA28AF" w:rsidP="00E34B81">
      <w:pPr>
        <w:autoSpaceDE w:val="0"/>
        <w:autoSpaceDN w:val="0"/>
        <w:adjustRightInd w:val="0"/>
        <w:jc w:val="left"/>
        <w:rPr>
          <w:rFonts w:ascii="Times New Roman" w:hAnsi="Times New Roman" w:cs="Times New Roman"/>
          <w:szCs w:val="24"/>
        </w:rPr>
      </w:pPr>
      <w:r w:rsidRPr="00A5701A">
        <w:rPr>
          <w:rFonts w:ascii="Times New Roman" w:hAnsi="Times New Roman" w:cs="Times New Roman"/>
          <w:szCs w:val="24"/>
        </w:rPr>
        <w:t>MERCER 2018. Cost of Living Ranking. Disponível em</w:t>
      </w:r>
      <w:r w:rsidR="0079114F">
        <w:rPr>
          <w:rFonts w:ascii="Times New Roman" w:hAnsi="Times New Roman" w:cs="Times New Roman"/>
          <w:szCs w:val="24"/>
        </w:rPr>
        <w:t xml:space="preserve">: </w:t>
      </w:r>
      <w:hyperlink r:id="rId10" w:history="1">
        <w:r w:rsidR="00680DFC" w:rsidRPr="00A5701A">
          <w:rPr>
            <w:rStyle w:val="Hyperlink"/>
            <w:rFonts w:ascii="Times New Roman" w:hAnsi="Times New Roman" w:cs="Times New Roman"/>
            <w:color w:val="auto"/>
            <w:szCs w:val="24"/>
            <w:u w:val="none"/>
          </w:rPr>
          <w:t>https://www.mercer.com/</w:t>
        </w:r>
      </w:hyperlink>
      <w:r w:rsidRPr="00A5701A">
        <w:rPr>
          <w:rFonts w:ascii="Times New Roman" w:hAnsi="Times New Roman" w:cs="Times New Roman"/>
          <w:szCs w:val="24"/>
        </w:rPr>
        <w:t xml:space="preserve"> Acesso</w:t>
      </w:r>
      <w:r w:rsidR="0079114F">
        <w:rPr>
          <w:rFonts w:ascii="Times New Roman" w:hAnsi="Times New Roman" w:cs="Times New Roman"/>
          <w:szCs w:val="24"/>
        </w:rPr>
        <w:t xml:space="preserve"> em</w:t>
      </w:r>
      <w:r w:rsidRPr="00A5701A">
        <w:rPr>
          <w:rFonts w:ascii="Times New Roman" w:hAnsi="Times New Roman" w:cs="Times New Roman"/>
          <w:szCs w:val="24"/>
        </w:rPr>
        <w:t>: março 2018.</w:t>
      </w:r>
    </w:p>
    <w:p w14:paraId="545A6B7D" w14:textId="5F886E2E" w:rsidR="00BA28AF" w:rsidRPr="00A5701A" w:rsidRDefault="00BA28AF" w:rsidP="00E34B81">
      <w:pPr>
        <w:pStyle w:val="NormalWeb"/>
        <w:spacing w:before="0" w:beforeAutospacing="0" w:after="0" w:afterAutospacing="0" w:line="360" w:lineRule="auto"/>
      </w:pPr>
      <w:r w:rsidRPr="00A5701A">
        <w:t>NUMBEO. Quality Of Life. Disponível em</w:t>
      </w:r>
      <w:r w:rsidR="0079114F" w:rsidRPr="0079114F">
        <w:t>:</w:t>
      </w:r>
      <w:r w:rsidRPr="0079114F">
        <w:t xml:space="preserve"> </w:t>
      </w:r>
      <w:hyperlink r:id="rId11" w:history="1">
        <w:r w:rsidR="0079114F" w:rsidRPr="0079114F">
          <w:rPr>
            <w:rStyle w:val="Hyperlink"/>
            <w:color w:val="auto"/>
            <w:u w:val="none"/>
          </w:rPr>
          <w:t>https://www.numbeo.com/cost-of-living/</w:t>
        </w:r>
      </w:hyperlink>
      <w:r w:rsidRPr="00A5701A">
        <w:t xml:space="preserve"> Acesso em</w:t>
      </w:r>
      <w:r w:rsidR="0079114F">
        <w:t>:</w:t>
      </w:r>
      <w:r w:rsidRPr="00A5701A">
        <w:t xml:space="preserve"> fevereiro de 2018.</w:t>
      </w:r>
    </w:p>
    <w:p w14:paraId="5050F87D" w14:textId="0930830E" w:rsidR="00891E66" w:rsidRPr="00A5701A" w:rsidRDefault="00891E66" w:rsidP="00E34B81">
      <w:pPr>
        <w:pStyle w:val="NormalWeb"/>
        <w:spacing w:before="0" w:beforeAutospacing="0" w:after="0" w:afterAutospacing="0" w:line="360" w:lineRule="auto"/>
      </w:pPr>
      <w:r w:rsidRPr="00A5701A">
        <w:t>THE ECONOMIST. Disponível em</w:t>
      </w:r>
      <w:r w:rsidR="0079114F">
        <w:t>:</w:t>
      </w:r>
      <w:r w:rsidRPr="00A5701A">
        <w:t xml:space="preserve"> economists</w:t>
      </w:r>
      <w:r w:rsidR="0079114F">
        <w:t>.</w:t>
      </w:r>
      <w:r w:rsidRPr="00A5701A">
        <w:t>com</w:t>
      </w:r>
      <w:r w:rsidR="0079114F">
        <w:t xml:space="preserve"> </w:t>
      </w:r>
      <w:r w:rsidRPr="00A5701A">
        <w:t>Acesso em</w:t>
      </w:r>
      <w:r w:rsidR="0079114F">
        <w:t>:</w:t>
      </w:r>
      <w:r w:rsidRPr="00A5701A">
        <w:t xml:space="preserve"> ferereiro de 2018</w:t>
      </w:r>
    </w:p>
    <w:p w14:paraId="077B2B22" w14:textId="5302A7BA" w:rsidR="00BA28AF" w:rsidRPr="001434EC" w:rsidRDefault="00BA28AF" w:rsidP="00E34B81">
      <w:pPr>
        <w:autoSpaceDE w:val="0"/>
        <w:autoSpaceDN w:val="0"/>
        <w:adjustRightInd w:val="0"/>
        <w:rPr>
          <w:rFonts w:ascii="Times New Roman" w:hAnsi="Times New Roman" w:cs="Times New Roman"/>
          <w:szCs w:val="24"/>
        </w:rPr>
      </w:pPr>
      <w:r w:rsidRPr="00A5701A">
        <w:rPr>
          <w:rFonts w:ascii="Times New Roman" w:hAnsi="Times New Roman" w:cs="Times New Roman"/>
          <w:szCs w:val="24"/>
          <w:lang w:val="en-US"/>
        </w:rPr>
        <w:t>UN.</w:t>
      </w:r>
      <w:r w:rsidRPr="00A5701A">
        <w:rPr>
          <w:rFonts w:ascii="Times New Roman" w:hAnsi="Times New Roman" w:cs="Times New Roman"/>
          <w:lang w:val="en-US"/>
        </w:rPr>
        <w:t xml:space="preserve"> </w:t>
      </w:r>
      <w:r w:rsidRPr="00A5701A">
        <w:rPr>
          <w:rFonts w:ascii="Times New Roman" w:hAnsi="Times New Roman" w:cs="Times New Roman"/>
          <w:szCs w:val="24"/>
          <w:lang w:val="en-US"/>
        </w:rPr>
        <w:t xml:space="preserve">United Nations Development Program. </w:t>
      </w:r>
      <w:r w:rsidRPr="00A5701A">
        <w:rPr>
          <w:rFonts w:ascii="Times New Roman" w:hAnsi="Times New Roman" w:cs="Times New Roman"/>
          <w:szCs w:val="24"/>
        </w:rPr>
        <w:t>Disponível em</w:t>
      </w:r>
      <w:r w:rsidR="001434EC">
        <w:rPr>
          <w:rFonts w:ascii="Times New Roman" w:hAnsi="Times New Roman" w:cs="Times New Roman"/>
          <w:szCs w:val="24"/>
        </w:rPr>
        <w:t>:</w:t>
      </w:r>
      <w:r w:rsidRPr="00A5701A">
        <w:rPr>
          <w:rFonts w:ascii="Times New Roman" w:hAnsi="Times New Roman" w:cs="Times New Roman"/>
          <w:szCs w:val="24"/>
        </w:rPr>
        <w:t xml:space="preserve"> http://www.pnud.org.br. </w:t>
      </w:r>
      <w:r w:rsidRPr="001434EC">
        <w:rPr>
          <w:rFonts w:ascii="Times New Roman" w:hAnsi="Times New Roman" w:cs="Times New Roman"/>
          <w:szCs w:val="24"/>
        </w:rPr>
        <w:t>Acesso em</w:t>
      </w:r>
      <w:r w:rsidR="001434EC">
        <w:rPr>
          <w:rFonts w:ascii="Times New Roman" w:hAnsi="Times New Roman" w:cs="Times New Roman"/>
          <w:szCs w:val="24"/>
        </w:rPr>
        <w:t>:</w:t>
      </w:r>
      <w:r w:rsidRPr="001434EC">
        <w:rPr>
          <w:rFonts w:ascii="Times New Roman" w:hAnsi="Times New Roman" w:cs="Times New Roman"/>
          <w:szCs w:val="24"/>
        </w:rPr>
        <w:t xml:space="preserve"> maio de 2018.</w:t>
      </w:r>
    </w:p>
    <w:p w14:paraId="3E40D297" w14:textId="0992CE08" w:rsidR="005A54F4" w:rsidRPr="00A5701A" w:rsidRDefault="005A54F4" w:rsidP="00E34B81">
      <w:pPr>
        <w:tabs>
          <w:tab w:val="left" w:pos="0"/>
        </w:tabs>
        <w:rPr>
          <w:rFonts w:ascii="Times New Roman" w:hAnsi="Times New Roman" w:cs="Times New Roman"/>
          <w:szCs w:val="24"/>
        </w:rPr>
      </w:pPr>
      <w:r w:rsidRPr="005A54F4">
        <w:rPr>
          <w:rFonts w:ascii="Times New Roman" w:hAnsi="Times New Roman" w:cs="Times New Roman"/>
          <w:lang w:val="en-US"/>
        </w:rPr>
        <w:t xml:space="preserve">UN. The Millennium Development Goals Report, 2015. </w:t>
      </w:r>
      <w:r w:rsidRPr="005A54F4">
        <w:rPr>
          <w:rFonts w:ascii="Times New Roman" w:hAnsi="Times New Roman" w:cs="Times New Roman"/>
        </w:rPr>
        <w:t>Disponível em</w:t>
      </w:r>
      <w:r w:rsidR="00894D6D">
        <w:rPr>
          <w:rFonts w:ascii="Times New Roman" w:hAnsi="Times New Roman" w:cs="Times New Roman"/>
        </w:rPr>
        <w:t>:</w:t>
      </w:r>
      <w:r w:rsidRPr="005A54F4">
        <w:rPr>
          <w:rFonts w:ascii="Times New Roman" w:hAnsi="Times New Roman" w:cs="Times New Roman"/>
        </w:rPr>
        <w:t xml:space="preserve"> http://www.un.org/ Acesso em</w:t>
      </w:r>
      <w:r w:rsidR="00894D6D">
        <w:rPr>
          <w:rFonts w:ascii="Times New Roman" w:hAnsi="Times New Roman" w:cs="Times New Roman"/>
        </w:rPr>
        <w:t>:</w:t>
      </w:r>
      <w:r w:rsidRPr="005A54F4">
        <w:rPr>
          <w:rFonts w:ascii="Times New Roman" w:hAnsi="Times New Roman" w:cs="Times New Roman"/>
        </w:rPr>
        <w:t xml:space="preserve"> maio de 2018.</w:t>
      </w:r>
    </w:p>
    <w:p w14:paraId="26794FD4" w14:textId="00C9F3D7" w:rsidR="00BA28AF" w:rsidRPr="00A5701A" w:rsidRDefault="00BA28AF" w:rsidP="00E34B81">
      <w:pPr>
        <w:autoSpaceDE w:val="0"/>
        <w:autoSpaceDN w:val="0"/>
        <w:adjustRightInd w:val="0"/>
        <w:rPr>
          <w:rFonts w:ascii="Times New Roman" w:hAnsi="Times New Roman" w:cs="Times New Roman"/>
          <w:szCs w:val="24"/>
        </w:rPr>
      </w:pPr>
      <w:r w:rsidRPr="00A5701A">
        <w:rPr>
          <w:rFonts w:ascii="Times New Roman" w:hAnsi="Times New Roman" w:cs="Times New Roman"/>
          <w:szCs w:val="24"/>
        </w:rPr>
        <w:t>WORLD HEALTH ORGANIZATION. WHO. Disponível em</w:t>
      </w:r>
      <w:r w:rsidR="00CD31FD">
        <w:rPr>
          <w:rFonts w:ascii="Times New Roman" w:hAnsi="Times New Roman" w:cs="Times New Roman"/>
          <w:szCs w:val="24"/>
        </w:rPr>
        <w:t>:</w:t>
      </w:r>
      <w:r w:rsidRPr="00A5701A">
        <w:rPr>
          <w:rFonts w:ascii="Times New Roman" w:hAnsi="Times New Roman" w:cs="Times New Roman"/>
          <w:color w:val="000000" w:themeColor="text1"/>
          <w:szCs w:val="24"/>
        </w:rPr>
        <w:t xml:space="preserve"> </w:t>
      </w:r>
      <w:hyperlink r:id="rId12" w:history="1">
        <w:r w:rsidRPr="00CD31FD">
          <w:rPr>
            <w:rStyle w:val="Hyperlink"/>
            <w:rFonts w:ascii="Times New Roman" w:hAnsi="Times New Roman" w:cs="Times New Roman"/>
            <w:color w:val="000000" w:themeColor="text1"/>
            <w:szCs w:val="24"/>
            <w:u w:val="none"/>
          </w:rPr>
          <w:t>https://www.who.int/</w:t>
        </w:r>
      </w:hyperlink>
      <w:r w:rsidRPr="00CD31FD">
        <w:rPr>
          <w:rFonts w:ascii="Times New Roman" w:hAnsi="Times New Roman" w:cs="Times New Roman"/>
          <w:szCs w:val="24"/>
        </w:rPr>
        <w:t xml:space="preserve"> </w:t>
      </w:r>
      <w:r w:rsidRPr="00A5701A">
        <w:rPr>
          <w:rFonts w:ascii="Times New Roman" w:hAnsi="Times New Roman" w:cs="Times New Roman"/>
          <w:szCs w:val="24"/>
        </w:rPr>
        <w:t>Acesso em</w:t>
      </w:r>
      <w:r w:rsidR="00CD31FD">
        <w:rPr>
          <w:rFonts w:ascii="Times New Roman" w:hAnsi="Times New Roman" w:cs="Times New Roman"/>
          <w:szCs w:val="24"/>
        </w:rPr>
        <w:t>:</w:t>
      </w:r>
      <w:r w:rsidRPr="00A5701A">
        <w:rPr>
          <w:rFonts w:ascii="Times New Roman" w:hAnsi="Times New Roman" w:cs="Times New Roman"/>
          <w:szCs w:val="24"/>
        </w:rPr>
        <w:t xml:space="preserve"> fevereiro 2018</w:t>
      </w:r>
    </w:p>
    <w:p w14:paraId="5284E1BC" w14:textId="77777777" w:rsidR="004F206A" w:rsidRPr="00A5701A" w:rsidRDefault="004F206A" w:rsidP="00E34B81">
      <w:pPr>
        <w:rPr>
          <w:rFonts w:ascii="Times New Roman" w:hAnsi="Times New Roman" w:cs="Times New Roman"/>
          <w:b/>
          <w:bCs/>
        </w:rPr>
      </w:pPr>
    </w:p>
    <w:p w14:paraId="211CF58D" w14:textId="39BE3F08" w:rsidR="00F72CB8" w:rsidRPr="00166F4F" w:rsidRDefault="00F72CB8" w:rsidP="00CE1819">
      <w:pPr>
        <w:rPr>
          <w:rFonts w:ascii="Times New Roman" w:hAnsi="Times New Roman" w:cs="Times New Roman"/>
          <w:b/>
          <w:bCs/>
          <w:sz w:val="20"/>
          <w:szCs w:val="20"/>
        </w:rPr>
      </w:pPr>
      <w:r w:rsidRPr="00166F4F">
        <w:rPr>
          <w:rFonts w:ascii="Times New Roman" w:hAnsi="Times New Roman" w:cs="Times New Roman"/>
          <w:b/>
          <w:bCs/>
          <w:sz w:val="20"/>
          <w:szCs w:val="20"/>
        </w:rPr>
        <w:t>Minicurrículo:</w:t>
      </w:r>
    </w:p>
    <w:p w14:paraId="1466086A" w14:textId="56253DB2" w:rsidR="001B6FC7" w:rsidRPr="00166F4F" w:rsidRDefault="001B6FC7" w:rsidP="00CE1819">
      <w:pPr>
        <w:rPr>
          <w:rFonts w:ascii="Times New Roman" w:hAnsi="Times New Roman" w:cs="Times New Roman"/>
          <w:sz w:val="20"/>
          <w:szCs w:val="20"/>
        </w:rPr>
      </w:pPr>
      <w:r w:rsidRPr="00166F4F">
        <w:rPr>
          <w:rFonts w:ascii="Times New Roman" w:hAnsi="Times New Roman" w:cs="Times New Roman"/>
          <w:b/>
          <w:bCs/>
          <w:sz w:val="20"/>
          <w:szCs w:val="20"/>
        </w:rPr>
        <w:t>Autor principal</w:t>
      </w:r>
      <w:r w:rsidR="00687198" w:rsidRPr="00166F4F">
        <w:rPr>
          <w:rFonts w:ascii="Times New Roman" w:hAnsi="Times New Roman" w:cs="Times New Roman"/>
          <w:sz w:val="20"/>
          <w:szCs w:val="20"/>
        </w:rPr>
        <w:t>: Alda Paulina dos Santos</w:t>
      </w:r>
    </w:p>
    <w:p w14:paraId="2D90F7F1" w14:textId="0C399A93" w:rsidR="00687198" w:rsidRPr="00166F4F" w:rsidRDefault="00173C70" w:rsidP="00CE1819">
      <w:pPr>
        <w:rPr>
          <w:rFonts w:ascii="Times New Roman" w:hAnsi="Times New Roman" w:cs="Times New Roman"/>
          <w:sz w:val="20"/>
          <w:szCs w:val="20"/>
        </w:rPr>
      </w:pPr>
      <w:r w:rsidRPr="00166F4F">
        <w:rPr>
          <w:rFonts w:ascii="Times New Roman" w:hAnsi="Times New Roman" w:cs="Times New Roman"/>
          <w:sz w:val="20"/>
          <w:szCs w:val="20"/>
        </w:rPr>
        <w:t xml:space="preserve">Graduada em Arquitetura e Urbanismo pela Universidade Católica de Santos. </w:t>
      </w:r>
      <w:r w:rsidR="00687198" w:rsidRPr="00166F4F">
        <w:rPr>
          <w:rFonts w:ascii="Times New Roman" w:hAnsi="Times New Roman" w:cs="Times New Roman"/>
          <w:sz w:val="20"/>
          <w:szCs w:val="20"/>
        </w:rPr>
        <w:t>Doutoranda em Arquitetura Tecnologia e Cidade na Un</w:t>
      </w:r>
      <w:r w:rsidR="004B726D" w:rsidRPr="00166F4F">
        <w:rPr>
          <w:rFonts w:ascii="Times New Roman" w:hAnsi="Times New Roman" w:cs="Times New Roman"/>
          <w:sz w:val="20"/>
          <w:szCs w:val="20"/>
        </w:rPr>
        <w:t>iversidade Estadual de Campinas</w:t>
      </w:r>
      <w:r w:rsidR="00687198" w:rsidRPr="00166F4F">
        <w:rPr>
          <w:rFonts w:ascii="Times New Roman" w:hAnsi="Times New Roman" w:cs="Times New Roman"/>
          <w:sz w:val="20"/>
          <w:szCs w:val="20"/>
        </w:rPr>
        <w:t>. Mestre e Especilista em Engenharia Urbana pela Universidade Federal de São Carlos. Docente da FEI, UNISANTA e UNIMES.</w:t>
      </w:r>
    </w:p>
    <w:p w14:paraId="60D2C38A" w14:textId="02B1B204" w:rsidR="00687198" w:rsidRPr="00166F4F" w:rsidRDefault="00687198" w:rsidP="00CE1819">
      <w:pPr>
        <w:rPr>
          <w:rFonts w:ascii="Times New Roman" w:hAnsi="Times New Roman" w:cs="Times New Roman"/>
          <w:sz w:val="20"/>
          <w:szCs w:val="20"/>
        </w:rPr>
      </w:pPr>
      <w:r w:rsidRPr="00166F4F">
        <w:rPr>
          <w:rFonts w:ascii="Times New Roman" w:hAnsi="Times New Roman" w:cs="Times New Roman"/>
          <w:sz w:val="20"/>
          <w:szCs w:val="20"/>
        </w:rPr>
        <w:t xml:space="preserve">Contato: </w:t>
      </w:r>
      <w:hyperlink r:id="rId13" w:history="1">
        <w:r w:rsidRPr="00166F4F">
          <w:rPr>
            <w:rStyle w:val="Hyperlink"/>
            <w:rFonts w:ascii="Times New Roman" w:hAnsi="Times New Roman" w:cs="Times New Roman"/>
            <w:color w:val="auto"/>
            <w:sz w:val="20"/>
            <w:szCs w:val="20"/>
            <w:u w:val="none"/>
          </w:rPr>
          <w:t>alda_paulina@yahoo.com.br</w:t>
        </w:r>
      </w:hyperlink>
      <w:r w:rsidRPr="00166F4F">
        <w:rPr>
          <w:rFonts w:ascii="Times New Roman" w:hAnsi="Times New Roman" w:cs="Times New Roman"/>
          <w:sz w:val="20"/>
          <w:szCs w:val="20"/>
        </w:rPr>
        <w:t xml:space="preserve">  </w:t>
      </w:r>
      <w:r w:rsidR="00173C70" w:rsidRPr="00166F4F">
        <w:rPr>
          <w:rFonts w:ascii="Times New Roman" w:hAnsi="Times New Roman" w:cs="Times New Roman"/>
          <w:sz w:val="20"/>
          <w:szCs w:val="20"/>
        </w:rPr>
        <w:t xml:space="preserve"> </w:t>
      </w:r>
      <w:r w:rsidR="00B6057C" w:rsidRPr="00166F4F">
        <w:rPr>
          <w:rFonts w:ascii="Times New Roman" w:hAnsi="Times New Roman" w:cs="Times New Roman"/>
          <w:sz w:val="20"/>
          <w:szCs w:val="20"/>
        </w:rPr>
        <w:t>http://l</w:t>
      </w:r>
      <w:r w:rsidR="00173C70" w:rsidRPr="00166F4F">
        <w:rPr>
          <w:rFonts w:ascii="Times New Roman" w:hAnsi="Times New Roman" w:cs="Times New Roman"/>
          <w:sz w:val="20"/>
          <w:szCs w:val="20"/>
        </w:rPr>
        <w:t>attes.cnpq/br/1076000241476862</w:t>
      </w:r>
    </w:p>
    <w:p w14:paraId="27540DE9" w14:textId="662974AB" w:rsidR="00687198" w:rsidRPr="00166F4F" w:rsidRDefault="001B6FC7" w:rsidP="00F72CB8">
      <w:pPr>
        <w:autoSpaceDE w:val="0"/>
        <w:autoSpaceDN w:val="0"/>
        <w:adjustRightInd w:val="0"/>
        <w:rPr>
          <w:rFonts w:ascii="Times New Roman" w:hAnsi="Times New Roman" w:cs="Times New Roman"/>
          <w:sz w:val="20"/>
          <w:szCs w:val="20"/>
        </w:rPr>
      </w:pPr>
      <w:r w:rsidRPr="00166F4F">
        <w:rPr>
          <w:rFonts w:ascii="Times New Roman" w:hAnsi="Times New Roman" w:cs="Times New Roman"/>
          <w:b/>
          <w:bCs/>
          <w:sz w:val="20"/>
          <w:szCs w:val="20"/>
        </w:rPr>
        <w:t>Co autor</w:t>
      </w:r>
      <w:r w:rsidR="00FD73F7" w:rsidRPr="00166F4F">
        <w:rPr>
          <w:rFonts w:ascii="Times New Roman" w:hAnsi="Times New Roman" w:cs="Times New Roman"/>
          <w:sz w:val="20"/>
          <w:szCs w:val="20"/>
        </w:rPr>
        <w:t xml:space="preserve">: </w:t>
      </w:r>
      <w:r w:rsidR="00E30001" w:rsidRPr="00166F4F">
        <w:rPr>
          <w:rFonts w:ascii="Times New Roman" w:hAnsi="Times New Roman" w:cs="Times New Roman"/>
          <w:sz w:val="20"/>
          <w:szCs w:val="20"/>
        </w:rPr>
        <w:t>Lauro Luiz Francisco Filho</w:t>
      </w:r>
    </w:p>
    <w:p w14:paraId="1D3D7D94" w14:textId="56279A08" w:rsidR="00687198" w:rsidRPr="00166F4F" w:rsidRDefault="00687198" w:rsidP="00F72CB8">
      <w:pPr>
        <w:autoSpaceDE w:val="0"/>
        <w:autoSpaceDN w:val="0"/>
        <w:adjustRightInd w:val="0"/>
        <w:rPr>
          <w:rFonts w:ascii="Times New Roman" w:hAnsi="Times New Roman" w:cs="Times New Roman"/>
          <w:sz w:val="20"/>
          <w:szCs w:val="20"/>
        </w:rPr>
      </w:pPr>
      <w:r w:rsidRPr="00166F4F">
        <w:rPr>
          <w:rFonts w:ascii="Times New Roman" w:hAnsi="Times New Roman" w:cs="Times New Roman"/>
          <w:sz w:val="20"/>
          <w:szCs w:val="20"/>
        </w:rPr>
        <w:t>Graduado em Arquitetura e Urbanismo</w:t>
      </w:r>
      <w:r w:rsidR="00173C70" w:rsidRPr="00166F4F">
        <w:rPr>
          <w:rFonts w:ascii="Times New Roman" w:hAnsi="Times New Roman" w:cs="Times New Roman"/>
          <w:sz w:val="20"/>
          <w:szCs w:val="20"/>
        </w:rPr>
        <w:t xml:space="preserve"> pela Universidade Federal de Santa Catarina, Mestre e Doutor em Ciências.</w:t>
      </w:r>
      <w:r w:rsidR="004B726D" w:rsidRPr="00166F4F">
        <w:rPr>
          <w:rFonts w:ascii="Times New Roman" w:hAnsi="Times New Roman" w:cs="Times New Roman"/>
          <w:sz w:val="20"/>
          <w:szCs w:val="20"/>
        </w:rPr>
        <w:t xml:space="preserve"> Livre docente</w:t>
      </w:r>
      <w:r w:rsidR="009B147A" w:rsidRPr="00166F4F">
        <w:rPr>
          <w:rFonts w:ascii="Times New Roman" w:hAnsi="Times New Roman" w:cs="Times New Roman"/>
          <w:sz w:val="20"/>
          <w:szCs w:val="20"/>
        </w:rPr>
        <w:t xml:space="preserve"> </w:t>
      </w:r>
      <w:r w:rsidR="004B726D" w:rsidRPr="00166F4F">
        <w:rPr>
          <w:rFonts w:ascii="Times New Roman" w:hAnsi="Times New Roman" w:cs="Times New Roman"/>
          <w:sz w:val="20"/>
          <w:szCs w:val="20"/>
        </w:rPr>
        <w:t xml:space="preserve">em Planejamento e </w:t>
      </w:r>
      <w:r w:rsidR="005F6DB7">
        <w:rPr>
          <w:rFonts w:ascii="Times New Roman" w:hAnsi="Times New Roman" w:cs="Times New Roman"/>
          <w:sz w:val="20"/>
          <w:szCs w:val="20"/>
        </w:rPr>
        <w:t>P</w:t>
      </w:r>
      <w:r w:rsidR="004B726D" w:rsidRPr="00166F4F">
        <w:rPr>
          <w:rFonts w:ascii="Times New Roman" w:hAnsi="Times New Roman" w:cs="Times New Roman"/>
          <w:sz w:val="20"/>
          <w:szCs w:val="20"/>
        </w:rPr>
        <w:t>rojeto Urbano pela Universidade Estadual de Campinas</w:t>
      </w:r>
      <w:r w:rsidR="00B51B62" w:rsidRPr="00166F4F">
        <w:rPr>
          <w:rFonts w:ascii="Times New Roman" w:hAnsi="Times New Roman" w:cs="Times New Roman"/>
          <w:sz w:val="20"/>
          <w:szCs w:val="20"/>
        </w:rPr>
        <w:t>.</w:t>
      </w:r>
    </w:p>
    <w:p w14:paraId="5EA32B14" w14:textId="116B9BDD" w:rsidR="00687198" w:rsidRPr="00166F4F" w:rsidRDefault="00B51B62" w:rsidP="00F72CB8">
      <w:pPr>
        <w:autoSpaceDE w:val="0"/>
        <w:autoSpaceDN w:val="0"/>
        <w:adjustRightInd w:val="0"/>
        <w:rPr>
          <w:rFonts w:ascii="Times New Roman" w:hAnsi="Times New Roman" w:cs="Times New Roman"/>
          <w:sz w:val="20"/>
          <w:szCs w:val="20"/>
        </w:rPr>
      </w:pPr>
      <w:r w:rsidRPr="00166F4F">
        <w:rPr>
          <w:rFonts w:ascii="Times New Roman" w:hAnsi="Times New Roman" w:cs="Times New Roman"/>
          <w:sz w:val="20"/>
          <w:szCs w:val="20"/>
        </w:rPr>
        <w:t xml:space="preserve">Contato: </w:t>
      </w:r>
      <w:hyperlink r:id="rId14" w:history="1">
        <w:r w:rsidR="00B6057C" w:rsidRPr="00166F4F">
          <w:rPr>
            <w:rStyle w:val="Hyperlink"/>
            <w:rFonts w:ascii="Times New Roman" w:hAnsi="Times New Roman" w:cs="Times New Roman"/>
            <w:color w:val="auto"/>
            <w:sz w:val="20"/>
            <w:szCs w:val="20"/>
            <w:u w:val="none"/>
          </w:rPr>
          <w:t>laurolffilho@gmail.com</w:t>
        </w:r>
      </w:hyperlink>
      <w:r w:rsidR="00B6057C" w:rsidRPr="00166F4F">
        <w:rPr>
          <w:rFonts w:ascii="Times New Roman" w:hAnsi="Times New Roman" w:cs="Times New Roman"/>
          <w:sz w:val="20"/>
          <w:szCs w:val="20"/>
        </w:rPr>
        <w:t xml:space="preserve">     </w:t>
      </w:r>
      <w:r w:rsidR="00B6057C" w:rsidRPr="00166F4F">
        <w:rPr>
          <w:rFonts w:ascii="Times New Roman" w:hAnsi="Times New Roman" w:cs="Times New Roman"/>
          <w:color w:val="326C99"/>
          <w:sz w:val="20"/>
          <w:szCs w:val="20"/>
          <w:shd w:val="clear" w:color="auto" w:fill="FFFFFF"/>
        </w:rPr>
        <w:t> </w:t>
      </w:r>
      <w:r w:rsidR="00B6057C" w:rsidRPr="00166F4F">
        <w:rPr>
          <w:rFonts w:ascii="Times New Roman" w:hAnsi="Times New Roman" w:cs="Times New Roman"/>
          <w:sz w:val="20"/>
          <w:szCs w:val="20"/>
          <w:shd w:val="clear" w:color="auto" w:fill="FFFFFF"/>
        </w:rPr>
        <w:t>http://lattes.cnpq.br/4192453681310858</w:t>
      </w:r>
    </w:p>
    <w:sectPr w:rsidR="00687198" w:rsidRPr="00166F4F" w:rsidSect="00FD479A">
      <w:headerReference w:type="default" r:id="rId15"/>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58A4" w14:textId="77777777" w:rsidR="00B67AC7" w:rsidRDefault="00B67AC7" w:rsidP="007D02FF">
      <w:pPr>
        <w:spacing w:line="240" w:lineRule="auto"/>
      </w:pPr>
      <w:r>
        <w:separator/>
      </w:r>
    </w:p>
  </w:endnote>
  <w:endnote w:type="continuationSeparator" w:id="0">
    <w:p w14:paraId="0D5999F9" w14:textId="77777777" w:rsidR="00B67AC7" w:rsidRDefault="00B67AC7" w:rsidP="007D0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1699" w14:textId="77777777" w:rsidR="00B67AC7" w:rsidRDefault="00B67AC7" w:rsidP="007D02FF">
      <w:pPr>
        <w:spacing w:line="240" w:lineRule="auto"/>
      </w:pPr>
      <w:r>
        <w:separator/>
      </w:r>
    </w:p>
  </w:footnote>
  <w:footnote w:type="continuationSeparator" w:id="0">
    <w:p w14:paraId="0C90456C" w14:textId="77777777" w:rsidR="00B67AC7" w:rsidRDefault="00B67AC7" w:rsidP="007D02FF">
      <w:pPr>
        <w:spacing w:line="240" w:lineRule="auto"/>
      </w:pPr>
      <w:r>
        <w:continuationSeparator/>
      </w:r>
    </w:p>
  </w:footnote>
  <w:footnote w:id="1">
    <w:p w14:paraId="10B6184A" w14:textId="62069343" w:rsidR="00BA11E3" w:rsidRDefault="00BA11E3" w:rsidP="00BA11E3">
      <w:pPr>
        <w:pStyle w:val="Textodenotaderodap"/>
        <w:ind w:left="709" w:hanging="142"/>
        <w:rPr>
          <w:noProof w:val="0"/>
        </w:rPr>
      </w:pPr>
      <w:r>
        <w:rPr>
          <w:rStyle w:val="Refdenotaderodap"/>
        </w:rPr>
        <w:footnoteRef/>
      </w:r>
      <w:r>
        <w:t xml:space="preserve"> </w:t>
      </w:r>
      <w:r w:rsidRPr="00BA11E3">
        <w:rPr>
          <w:noProof w:val="0"/>
        </w:rPr>
        <w:t>Artigo apresentado e aprovado para o 5º Encontro Internacional a Formação Universitária e Dimensão Social do Profissional – 2020-2021 50 anos do TT – Habitat, Cidadania e Participação.</w:t>
      </w:r>
    </w:p>
    <w:p w14:paraId="314C6302" w14:textId="5BF582EE" w:rsidR="00447E36" w:rsidRPr="00BA11E3" w:rsidRDefault="00447E36" w:rsidP="00BA11E3">
      <w:pPr>
        <w:pStyle w:val="Textodenotaderodap"/>
        <w:ind w:left="709" w:hanging="142"/>
        <w:rPr>
          <w:noProof w:val="0"/>
        </w:rPr>
      </w:pPr>
      <w:r>
        <w:rPr>
          <w:noProof w:val="0"/>
        </w:rPr>
        <w:t xml:space="preserve">  Artigo publicado na revista Intellectus, Vol</w:t>
      </w:r>
      <w:r w:rsidR="005035ED">
        <w:rPr>
          <w:noProof w:val="0"/>
        </w:rPr>
        <w:t>.</w:t>
      </w:r>
      <w:r>
        <w:rPr>
          <w:noProof w:val="0"/>
        </w:rPr>
        <w:t xml:space="preserve"> 63 Nº1 ano 2021, ISSN 1679-8902</w:t>
      </w:r>
      <w:r w:rsidR="008608D8">
        <w:rPr>
          <w:noProof w:val="0"/>
        </w:rPr>
        <w:t>.</w:t>
      </w:r>
    </w:p>
    <w:p w14:paraId="47FC6D0D" w14:textId="34CE989D" w:rsidR="00BA11E3" w:rsidRDefault="00BA11E3">
      <w:pPr>
        <w:pStyle w:val="Textodenotaderodap"/>
      </w:pPr>
    </w:p>
  </w:footnote>
  <w:footnote w:id="2">
    <w:p w14:paraId="65200E8B" w14:textId="6EF0FBDA" w:rsidR="00374136" w:rsidRDefault="00374136">
      <w:pPr>
        <w:pStyle w:val="Textodenotaderodap"/>
      </w:pPr>
      <w:r>
        <w:rPr>
          <w:rStyle w:val="Refdenotaderodap"/>
        </w:rPr>
        <w:footnoteRef/>
      </w:r>
      <w:r>
        <w:t xml:space="preserve"> </w:t>
      </w:r>
      <w:r w:rsidRPr="0037144E">
        <w:t>https://worldhappiness.report/ed/2018/</w:t>
      </w:r>
    </w:p>
  </w:footnote>
  <w:footnote w:id="3">
    <w:p w14:paraId="06DF2354" w14:textId="2243A119" w:rsidR="00374136" w:rsidRDefault="00374136">
      <w:pPr>
        <w:pStyle w:val="Textodenotaderodap"/>
      </w:pPr>
      <w:r>
        <w:rPr>
          <w:rStyle w:val="Refdenotaderodap"/>
        </w:rPr>
        <w:footnoteRef/>
      </w:r>
      <w:r>
        <w:t xml:space="preserve"> </w:t>
      </w:r>
      <w:r w:rsidRPr="0037144E">
        <w:t>https://www.who.int/mental_health/media/68.pdf</w:t>
      </w:r>
    </w:p>
  </w:footnote>
  <w:footnote w:id="4">
    <w:p w14:paraId="496C5C58" w14:textId="6EC86BB3" w:rsidR="00374136" w:rsidRDefault="00374136">
      <w:pPr>
        <w:pStyle w:val="Textodenotaderodap"/>
      </w:pPr>
      <w:r>
        <w:rPr>
          <w:rStyle w:val="Refdenotaderodap"/>
        </w:rPr>
        <w:footnoteRef/>
      </w:r>
      <w:r>
        <w:t xml:space="preserve"> </w:t>
      </w:r>
      <w:hyperlink r:id="rId1">
        <w:r w:rsidRPr="00796C3E">
          <w:t>http://www.br.undp.org</w:t>
        </w:r>
      </w:hyperlink>
    </w:p>
  </w:footnote>
  <w:footnote w:id="5">
    <w:p w14:paraId="1837E17D" w14:textId="7CDCFA8C" w:rsidR="00374136" w:rsidRDefault="00374136">
      <w:pPr>
        <w:pStyle w:val="Textodenotaderodap"/>
      </w:pPr>
      <w:r>
        <w:rPr>
          <w:rStyle w:val="Refdenotaderodap"/>
        </w:rPr>
        <w:footnoteRef/>
      </w:r>
      <w:r>
        <w:t xml:space="preserve"> </w:t>
      </w:r>
      <w:r w:rsidRPr="00BC4B10">
        <w:t>https://news.un.org/pt/story/2019/06/1676601</w:t>
      </w:r>
    </w:p>
  </w:footnote>
  <w:footnote w:id="6">
    <w:p w14:paraId="71128C5E" w14:textId="27C3E1D0" w:rsidR="00374136" w:rsidRPr="00D87076" w:rsidRDefault="00374136">
      <w:pPr>
        <w:pStyle w:val="Textodenotaderodap"/>
      </w:pPr>
      <w:r>
        <w:rPr>
          <w:rStyle w:val="Refdenotaderodap"/>
        </w:rPr>
        <w:footnoteRef/>
      </w:r>
      <w:r>
        <w:t xml:space="preserve"> </w:t>
      </w:r>
      <w:hyperlink r:id="rId2" w:history="1">
        <w:r w:rsidRPr="00D87076">
          <w:rPr>
            <w:rStyle w:val="Hyperlink"/>
            <w:color w:val="000000" w:themeColor="text1"/>
            <w:u w:val="none"/>
          </w:rPr>
          <w:t>https://www.numbeo.com/cost-of-living/</w:t>
        </w:r>
      </w:hyperlink>
    </w:p>
  </w:footnote>
  <w:footnote w:id="7">
    <w:p w14:paraId="3E6B07A7" w14:textId="49B4C470" w:rsidR="00374136" w:rsidRDefault="00374136">
      <w:pPr>
        <w:pStyle w:val="Textodenotaderodap"/>
      </w:pPr>
      <w:r>
        <w:rPr>
          <w:rStyle w:val="Refdenotaderodap"/>
        </w:rPr>
        <w:footnoteRef/>
      </w:r>
      <w:r>
        <w:t xml:space="preserve"> </w:t>
      </w:r>
      <w:r w:rsidRPr="004C4DA0">
        <w:t>https://media.iese.edu/research/pdfs/ST-0471-E.pdf</w:t>
      </w:r>
    </w:p>
  </w:footnote>
  <w:footnote w:id="8">
    <w:p w14:paraId="0C75875F" w14:textId="14231D6C" w:rsidR="00374136" w:rsidRDefault="00374136">
      <w:pPr>
        <w:pStyle w:val="Textodenotaderodap"/>
      </w:pPr>
      <w:r>
        <w:rPr>
          <w:rStyle w:val="Refdenotaderodap"/>
        </w:rPr>
        <w:footnoteRef/>
      </w:r>
      <w:r>
        <w:t xml:space="preserve"> </w:t>
      </w:r>
      <w:r w:rsidRPr="001A15E7">
        <w:t>https://www.economist.com/</w:t>
      </w:r>
    </w:p>
  </w:footnote>
  <w:footnote w:id="9">
    <w:p w14:paraId="1D4115E3" w14:textId="1E740C8C" w:rsidR="00374136" w:rsidRDefault="00374136">
      <w:pPr>
        <w:pStyle w:val="Textodenotaderodap"/>
      </w:pPr>
      <w:r>
        <w:rPr>
          <w:rStyle w:val="Refdenotaderodap"/>
        </w:rPr>
        <w:footnoteRef/>
      </w:r>
      <w:r>
        <w:t xml:space="preserve"> </w:t>
      </w:r>
      <w:r w:rsidRPr="001A15E7">
        <w:t>https://www.mercer.com.br/newsroom/ranking-de-qualidade-de-vida-2018.html</w:t>
      </w:r>
    </w:p>
  </w:footnote>
  <w:footnote w:id="10">
    <w:p w14:paraId="5613DB04" w14:textId="04640BB9" w:rsidR="00374136" w:rsidRDefault="00374136">
      <w:pPr>
        <w:pStyle w:val="Textodenotaderodap"/>
      </w:pPr>
      <w:r>
        <w:rPr>
          <w:rStyle w:val="Refdenotaderodap"/>
        </w:rPr>
        <w:footnoteRef/>
      </w:r>
      <w:r>
        <w:t xml:space="preserve"> </w:t>
      </w:r>
      <w:r w:rsidRPr="001356AC">
        <w:t>https://www.ibm.com/br-pt/analytics/spss-statistics-software</w:t>
      </w:r>
    </w:p>
  </w:footnote>
  <w:footnote w:id="11">
    <w:p w14:paraId="7A16D4E1" w14:textId="50281B21" w:rsidR="00374136" w:rsidRDefault="00374136">
      <w:pPr>
        <w:pStyle w:val="Textodenotaderodap"/>
      </w:pPr>
      <w:r>
        <w:rPr>
          <w:rStyle w:val="Refdenotaderodap"/>
        </w:rPr>
        <w:footnoteRef/>
      </w:r>
      <w:r>
        <w:t xml:space="preserve"> </w:t>
      </w:r>
      <w:r w:rsidRPr="004B4EE0">
        <w:t>http://www.newgeography.com/content/005933-world-urban-areas-1064-largest-cities-2018-update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910488"/>
      <w:docPartObj>
        <w:docPartGallery w:val="Page Numbers (Top of Page)"/>
        <w:docPartUnique/>
      </w:docPartObj>
    </w:sdtPr>
    <w:sdtEndPr/>
    <w:sdtContent>
      <w:p w14:paraId="25241951" w14:textId="1B35BE0A" w:rsidR="00374136" w:rsidRDefault="00374136">
        <w:pPr>
          <w:pStyle w:val="Cabealho"/>
          <w:jc w:val="right"/>
        </w:pPr>
        <w:r>
          <w:fldChar w:fldCharType="begin"/>
        </w:r>
        <w:r>
          <w:instrText>PAGE   \* MERGEFORMAT</w:instrText>
        </w:r>
        <w:r>
          <w:fldChar w:fldCharType="separate"/>
        </w:r>
        <w:r>
          <w:t>2</w:t>
        </w:r>
        <w:r>
          <w:fldChar w:fldCharType="end"/>
        </w:r>
      </w:p>
    </w:sdtContent>
  </w:sdt>
  <w:p w14:paraId="27846734" w14:textId="77777777" w:rsidR="00374136" w:rsidRDefault="003741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7B52"/>
    <w:multiLevelType w:val="hybridMultilevel"/>
    <w:tmpl w:val="595228F4"/>
    <w:lvl w:ilvl="0" w:tplc="705AA7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B25F39"/>
    <w:multiLevelType w:val="hybridMultilevel"/>
    <w:tmpl w:val="C78AA72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0EEC22A6"/>
    <w:multiLevelType w:val="hybridMultilevel"/>
    <w:tmpl w:val="EFCC0E1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16211683"/>
    <w:multiLevelType w:val="hybridMultilevel"/>
    <w:tmpl w:val="2F7E7980"/>
    <w:lvl w:ilvl="0" w:tplc="8ECE1C68">
      <w:start w:val="1"/>
      <w:numFmt w:val="bullet"/>
      <w:lvlText w:val=""/>
      <w:lvlJc w:val="left"/>
      <w:pPr>
        <w:ind w:left="1320" w:hanging="360"/>
      </w:pPr>
      <w:rPr>
        <w:rFonts w:ascii="Symbol" w:hAnsi="Symbol" w:hint="default"/>
        <w:color w:val="000000" w:themeColor="text1"/>
        <w:u w:val="none"/>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4" w15:restartNumberingAfterBreak="0">
    <w:nsid w:val="20C13ACF"/>
    <w:multiLevelType w:val="hybridMultilevel"/>
    <w:tmpl w:val="89ACFAD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 w15:restartNumberingAfterBreak="0">
    <w:nsid w:val="5BC30E9E"/>
    <w:multiLevelType w:val="hybridMultilevel"/>
    <w:tmpl w:val="B9B286C6"/>
    <w:lvl w:ilvl="0" w:tplc="04160001">
      <w:start w:val="1"/>
      <w:numFmt w:val="bullet"/>
      <w:lvlText w:val=""/>
      <w:lvlJc w:val="left"/>
      <w:pPr>
        <w:ind w:left="1350" w:hanging="360"/>
      </w:pPr>
      <w:rPr>
        <w:rFonts w:ascii="Symbol" w:hAnsi="Symbol" w:hint="default"/>
      </w:rPr>
    </w:lvl>
    <w:lvl w:ilvl="1" w:tplc="04160003" w:tentative="1">
      <w:start w:val="1"/>
      <w:numFmt w:val="bullet"/>
      <w:lvlText w:val="o"/>
      <w:lvlJc w:val="left"/>
      <w:pPr>
        <w:ind w:left="2070" w:hanging="360"/>
      </w:pPr>
      <w:rPr>
        <w:rFonts w:ascii="Courier New" w:hAnsi="Courier New" w:cs="Courier New" w:hint="default"/>
      </w:rPr>
    </w:lvl>
    <w:lvl w:ilvl="2" w:tplc="04160005" w:tentative="1">
      <w:start w:val="1"/>
      <w:numFmt w:val="bullet"/>
      <w:lvlText w:val=""/>
      <w:lvlJc w:val="left"/>
      <w:pPr>
        <w:ind w:left="2790" w:hanging="360"/>
      </w:pPr>
      <w:rPr>
        <w:rFonts w:ascii="Wingdings" w:hAnsi="Wingdings" w:hint="default"/>
      </w:rPr>
    </w:lvl>
    <w:lvl w:ilvl="3" w:tplc="04160001" w:tentative="1">
      <w:start w:val="1"/>
      <w:numFmt w:val="bullet"/>
      <w:lvlText w:val=""/>
      <w:lvlJc w:val="left"/>
      <w:pPr>
        <w:ind w:left="3510" w:hanging="360"/>
      </w:pPr>
      <w:rPr>
        <w:rFonts w:ascii="Symbol" w:hAnsi="Symbol" w:hint="default"/>
      </w:rPr>
    </w:lvl>
    <w:lvl w:ilvl="4" w:tplc="04160003" w:tentative="1">
      <w:start w:val="1"/>
      <w:numFmt w:val="bullet"/>
      <w:lvlText w:val="o"/>
      <w:lvlJc w:val="left"/>
      <w:pPr>
        <w:ind w:left="4230" w:hanging="360"/>
      </w:pPr>
      <w:rPr>
        <w:rFonts w:ascii="Courier New" w:hAnsi="Courier New" w:cs="Courier New" w:hint="default"/>
      </w:rPr>
    </w:lvl>
    <w:lvl w:ilvl="5" w:tplc="04160005" w:tentative="1">
      <w:start w:val="1"/>
      <w:numFmt w:val="bullet"/>
      <w:lvlText w:val=""/>
      <w:lvlJc w:val="left"/>
      <w:pPr>
        <w:ind w:left="4950" w:hanging="360"/>
      </w:pPr>
      <w:rPr>
        <w:rFonts w:ascii="Wingdings" w:hAnsi="Wingdings" w:hint="default"/>
      </w:rPr>
    </w:lvl>
    <w:lvl w:ilvl="6" w:tplc="04160001" w:tentative="1">
      <w:start w:val="1"/>
      <w:numFmt w:val="bullet"/>
      <w:lvlText w:val=""/>
      <w:lvlJc w:val="left"/>
      <w:pPr>
        <w:ind w:left="5670" w:hanging="360"/>
      </w:pPr>
      <w:rPr>
        <w:rFonts w:ascii="Symbol" w:hAnsi="Symbol" w:hint="default"/>
      </w:rPr>
    </w:lvl>
    <w:lvl w:ilvl="7" w:tplc="04160003" w:tentative="1">
      <w:start w:val="1"/>
      <w:numFmt w:val="bullet"/>
      <w:lvlText w:val="o"/>
      <w:lvlJc w:val="left"/>
      <w:pPr>
        <w:ind w:left="6390" w:hanging="360"/>
      </w:pPr>
      <w:rPr>
        <w:rFonts w:ascii="Courier New" w:hAnsi="Courier New" w:cs="Courier New" w:hint="default"/>
      </w:rPr>
    </w:lvl>
    <w:lvl w:ilvl="8" w:tplc="04160005" w:tentative="1">
      <w:start w:val="1"/>
      <w:numFmt w:val="bullet"/>
      <w:lvlText w:val=""/>
      <w:lvlJc w:val="left"/>
      <w:pPr>
        <w:ind w:left="7110" w:hanging="360"/>
      </w:pPr>
      <w:rPr>
        <w:rFonts w:ascii="Wingdings" w:hAnsi="Wingdings" w:hint="default"/>
      </w:rPr>
    </w:lvl>
  </w:abstractNum>
  <w:abstractNum w:abstractNumId="6" w15:restartNumberingAfterBreak="0">
    <w:nsid w:val="64113F0D"/>
    <w:multiLevelType w:val="hybridMultilevel"/>
    <w:tmpl w:val="E63E94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59A215A"/>
    <w:multiLevelType w:val="hybridMultilevel"/>
    <w:tmpl w:val="6420A908"/>
    <w:lvl w:ilvl="0" w:tplc="04160001">
      <w:start w:val="1"/>
      <w:numFmt w:val="bullet"/>
      <w:lvlText w:val=""/>
      <w:lvlJc w:val="left"/>
      <w:pPr>
        <w:ind w:left="1560" w:hanging="360"/>
      </w:pPr>
      <w:rPr>
        <w:rFonts w:ascii="Symbol" w:hAnsi="Symbol" w:hint="default"/>
      </w:rPr>
    </w:lvl>
    <w:lvl w:ilvl="1" w:tplc="04160003" w:tentative="1">
      <w:start w:val="1"/>
      <w:numFmt w:val="bullet"/>
      <w:lvlText w:val="o"/>
      <w:lvlJc w:val="left"/>
      <w:pPr>
        <w:ind w:left="2280" w:hanging="360"/>
      </w:pPr>
      <w:rPr>
        <w:rFonts w:ascii="Courier New" w:hAnsi="Courier New" w:cs="Courier New" w:hint="default"/>
      </w:rPr>
    </w:lvl>
    <w:lvl w:ilvl="2" w:tplc="04160005" w:tentative="1">
      <w:start w:val="1"/>
      <w:numFmt w:val="bullet"/>
      <w:lvlText w:val=""/>
      <w:lvlJc w:val="left"/>
      <w:pPr>
        <w:ind w:left="3000" w:hanging="360"/>
      </w:pPr>
      <w:rPr>
        <w:rFonts w:ascii="Wingdings" w:hAnsi="Wingdings" w:hint="default"/>
      </w:rPr>
    </w:lvl>
    <w:lvl w:ilvl="3" w:tplc="04160001" w:tentative="1">
      <w:start w:val="1"/>
      <w:numFmt w:val="bullet"/>
      <w:lvlText w:val=""/>
      <w:lvlJc w:val="left"/>
      <w:pPr>
        <w:ind w:left="3720" w:hanging="360"/>
      </w:pPr>
      <w:rPr>
        <w:rFonts w:ascii="Symbol" w:hAnsi="Symbol" w:hint="default"/>
      </w:rPr>
    </w:lvl>
    <w:lvl w:ilvl="4" w:tplc="04160003" w:tentative="1">
      <w:start w:val="1"/>
      <w:numFmt w:val="bullet"/>
      <w:lvlText w:val="o"/>
      <w:lvlJc w:val="left"/>
      <w:pPr>
        <w:ind w:left="4440" w:hanging="360"/>
      </w:pPr>
      <w:rPr>
        <w:rFonts w:ascii="Courier New" w:hAnsi="Courier New" w:cs="Courier New" w:hint="default"/>
      </w:rPr>
    </w:lvl>
    <w:lvl w:ilvl="5" w:tplc="04160005" w:tentative="1">
      <w:start w:val="1"/>
      <w:numFmt w:val="bullet"/>
      <w:lvlText w:val=""/>
      <w:lvlJc w:val="left"/>
      <w:pPr>
        <w:ind w:left="5160" w:hanging="360"/>
      </w:pPr>
      <w:rPr>
        <w:rFonts w:ascii="Wingdings" w:hAnsi="Wingdings" w:hint="default"/>
      </w:rPr>
    </w:lvl>
    <w:lvl w:ilvl="6" w:tplc="04160001" w:tentative="1">
      <w:start w:val="1"/>
      <w:numFmt w:val="bullet"/>
      <w:lvlText w:val=""/>
      <w:lvlJc w:val="left"/>
      <w:pPr>
        <w:ind w:left="5880" w:hanging="360"/>
      </w:pPr>
      <w:rPr>
        <w:rFonts w:ascii="Symbol" w:hAnsi="Symbol" w:hint="default"/>
      </w:rPr>
    </w:lvl>
    <w:lvl w:ilvl="7" w:tplc="04160003" w:tentative="1">
      <w:start w:val="1"/>
      <w:numFmt w:val="bullet"/>
      <w:lvlText w:val="o"/>
      <w:lvlJc w:val="left"/>
      <w:pPr>
        <w:ind w:left="6600" w:hanging="360"/>
      </w:pPr>
      <w:rPr>
        <w:rFonts w:ascii="Courier New" w:hAnsi="Courier New" w:cs="Courier New" w:hint="default"/>
      </w:rPr>
    </w:lvl>
    <w:lvl w:ilvl="8" w:tplc="04160005" w:tentative="1">
      <w:start w:val="1"/>
      <w:numFmt w:val="bullet"/>
      <w:lvlText w:val=""/>
      <w:lvlJc w:val="left"/>
      <w:pPr>
        <w:ind w:left="7320" w:hanging="360"/>
      </w:pPr>
      <w:rPr>
        <w:rFonts w:ascii="Wingdings" w:hAnsi="Wingdings" w:hint="default"/>
      </w:rPr>
    </w:lvl>
  </w:abstractNum>
  <w:abstractNum w:abstractNumId="8" w15:restartNumberingAfterBreak="0">
    <w:nsid w:val="65F10F0A"/>
    <w:multiLevelType w:val="hybridMultilevel"/>
    <w:tmpl w:val="52C26CE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9" w15:restartNumberingAfterBreak="0">
    <w:nsid w:val="776952F0"/>
    <w:multiLevelType w:val="hybridMultilevel"/>
    <w:tmpl w:val="B23C1910"/>
    <w:lvl w:ilvl="0" w:tplc="8ECE1C68">
      <w:start w:val="1"/>
      <w:numFmt w:val="bullet"/>
      <w:lvlText w:val=""/>
      <w:lvlJc w:val="left"/>
      <w:pPr>
        <w:ind w:left="720" w:hanging="360"/>
      </w:pPr>
      <w:rPr>
        <w:rFonts w:ascii="Symbol" w:hAnsi="Symbol" w:hint="default"/>
        <w:color w:val="000000" w:themeColor="text1"/>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9"/>
  </w:num>
  <w:num w:numId="5">
    <w:abstractNumId w:val="0"/>
  </w:num>
  <w:num w:numId="6">
    <w:abstractNumId w:val="4"/>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00"/>
    <w:rsid w:val="0000320E"/>
    <w:rsid w:val="0000495B"/>
    <w:rsid w:val="000106D6"/>
    <w:rsid w:val="00015D0E"/>
    <w:rsid w:val="000237B3"/>
    <w:rsid w:val="0002500A"/>
    <w:rsid w:val="0003002A"/>
    <w:rsid w:val="00045A71"/>
    <w:rsid w:val="0005505C"/>
    <w:rsid w:val="000566A6"/>
    <w:rsid w:val="000623A9"/>
    <w:rsid w:val="00062862"/>
    <w:rsid w:val="000650DB"/>
    <w:rsid w:val="000727C6"/>
    <w:rsid w:val="000741BE"/>
    <w:rsid w:val="000761D8"/>
    <w:rsid w:val="00080A8C"/>
    <w:rsid w:val="0008671F"/>
    <w:rsid w:val="00091BB0"/>
    <w:rsid w:val="0009383F"/>
    <w:rsid w:val="000A09A2"/>
    <w:rsid w:val="000A3ED6"/>
    <w:rsid w:val="000A58D7"/>
    <w:rsid w:val="000B283B"/>
    <w:rsid w:val="000B7B1B"/>
    <w:rsid w:val="000C2A11"/>
    <w:rsid w:val="000C2E9A"/>
    <w:rsid w:val="000E0C29"/>
    <w:rsid w:val="000F7004"/>
    <w:rsid w:val="00103AEB"/>
    <w:rsid w:val="00110478"/>
    <w:rsid w:val="00110990"/>
    <w:rsid w:val="001124D3"/>
    <w:rsid w:val="001206BB"/>
    <w:rsid w:val="001263C7"/>
    <w:rsid w:val="0013359A"/>
    <w:rsid w:val="00134223"/>
    <w:rsid w:val="0013545C"/>
    <w:rsid w:val="001356AC"/>
    <w:rsid w:val="00136A43"/>
    <w:rsid w:val="00137E99"/>
    <w:rsid w:val="0014299B"/>
    <w:rsid w:val="001434EC"/>
    <w:rsid w:val="0014516B"/>
    <w:rsid w:val="001531C2"/>
    <w:rsid w:val="00155A30"/>
    <w:rsid w:val="00166F4F"/>
    <w:rsid w:val="00173C70"/>
    <w:rsid w:val="0017594B"/>
    <w:rsid w:val="001824F9"/>
    <w:rsid w:val="00182749"/>
    <w:rsid w:val="001839ED"/>
    <w:rsid w:val="0018628B"/>
    <w:rsid w:val="00191983"/>
    <w:rsid w:val="00193768"/>
    <w:rsid w:val="001979E5"/>
    <w:rsid w:val="001A15E7"/>
    <w:rsid w:val="001A2370"/>
    <w:rsid w:val="001A3427"/>
    <w:rsid w:val="001B6FC7"/>
    <w:rsid w:val="001C225B"/>
    <w:rsid w:val="001D78A1"/>
    <w:rsid w:val="001F2D40"/>
    <w:rsid w:val="001F433F"/>
    <w:rsid w:val="001F45D3"/>
    <w:rsid w:val="00204278"/>
    <w:rsid w:val="00204795"/>
    <w:rsid w:val="00204AD2"/>
    <w:rsid w:val="00204C4D"/>
    <w:rsid w:val="00207681"/>
    <w:rsid w:val="0021416F"/>
    <w:rsid w:val="002235E6"/>
    <w:rsid w:val="00225570"/>
    <w:rsid w:val="00226050"/>
    <w:rsid w:val="00235232"/>
    <w:rsid w:val="00236D4A"/>
    <w:rsid w:val="002402A1"/>
    <w:rsid w:val="00240CD9"/>
    <w:rsid w:val="00244596"/>
    <w:rsid w:val="00246A46"/>
    <w:rsid w:val="002505D6"/>
    <w:rsid w:val="002507E0"/>
    <w:rsid w:val="00250FA7"/>
    <w:rsid w:val="00252E45"/>
    <w:rsid w:val="0025514E"/>
    <w:rsid w:val="0025695F"/>
    <w:rsid w:val="002579FA"/>
    <w:rsid w:val="00257EEA"/>
    <w:rsid w:val="0026480A"/>
    <w:rsid w:val="0027740F"/>
    <w:rsid w:val="002810C0"/>
    <w:rsid w:val="00281FA1"/>
    <w:rsid w:val="00286DB6"/>
    <w:rsid w:val="00295F8A"/>
    <w:rsid w:val="00296E31"/>
    <w:rsid w:val="002A6C43"/>
    <w:rsid w:val="002B5C09"/>
    <w:rsid w:val="002B6482"/>
    <w:rsid w:val="002B7B89"/>
    <w:rsid w:val="002B7CF8"/>
    <w:rsid w:val="002D04AB"/>
    <w:rsid w:val="002F0D7A"/>
    <w:rsid w:val="002F46DF"/>
    <w:rsid w:val="002F4A45"/>
    <w:rsid w:val="00303094"/>
    <w:rsid w:val="00304663"/>
    <w:rsid w:val="0030718F"/>
    <w:rsid w:val="003138FD"/>
    <w:rsid w:val="00315326"/>
    <w:rsid w:val="00315C9C"/>
    <w:rsid w:val="0031789A"/>
    <w:rsid w:val="00320E09"/>
    <w:rsid w:val="003222F8"/>
    <w:rsid w:val="00337A13"/>
    <w:rsid w:val="00340746"/>
    <w:rsid w:val="00341657"/>
    <w:rsid w:val="00343651"/>
    <w:rsid w:val="00343772"/>
    <w:rsid w:val="0035459F"/>
    <w:rsid w:val="00357975"/>
    <w:rsid w:val="00363706"/>
    <w:rsid w:val="00364267"/>
    <w:rsid w:val="0037144E"/>
    <w:rsid w:val="00371FF7"/>
    <w:rsid w:val="00374054"/>
    <w:rsid w:val="00374136"/>
    <w:rsid w:val="00376EF0"/>
    <w:rsid w:val="003808FE"/>
    <w:rsid w:val="00382468"/>
    <w:rsid w:val="00382A1E"/>
    <w:rsid w:val="00395E35"/>
    <w:rsid w:val="003A33DC"/>
    <w:rsid w:val="003A653A"/>
    <w:rsid w:val="003B1FFE"/>
    <w:rsid w:val="003B40DC"/>
    <w:rsid w:val="003B719E"/>
    <w:rsid w:val="003C1B9F"/>
    <w:rsid w:val="003C301A"/>
    <w:rsid w:val="003C7684"/>
    <w:rsid w:val="003C7DFB"/>
    <w:rsid w:val="003E5055"/>
    <w:rsid w:val="003F651F"/>
    <w:rsid w:val="004037F4"/>
    <w:rsid w:val="00404A7D"/>
    <w:rsid w:val="0040642C"/>
    <w:rsid w:val="004070CF"/>
    <w:rsid w:val="004141B8"/>
    <w:rsid w:val="00424340"/>
    <w:rsid w:val="00434458"/>
    <w:rsid w:val="0044200A"/>
    <w:rsid w:val="00447E36"/>
    <w:rsid w:val="00457483"/>
    <w:rsid w:val="00481207"/>
    <w:rsid w:val="00482892"/>
    <w:rsid w:val="00487725"/>
    <w:rsid w:val="004901D3"/>
    <w:rsid w:val="00493B56"/>
    <w:rsid w:val="00495ADF"/>
    <w:rsid w:val="004A179A"/>
    <w:rsid w:val="004B35C9"/>
    <w:rsid w:val="004B4EE0"/>
    <w:rsid w:val="004B726D"/>
    <w:rsid w:val="004C2F84"/>
    <w:rsid w:val="004C4DA0"/>
    <w:rsid w:val="004C7473"/>
    <w:rsid w:val="004C7D16"/>
    <w:rsid w:val="004D3071"/>
    <w:rsid w:val="004D5162"/>
    <w:rsid w:val="004E562A"/>
    <w:rsid w:val="004F206A"/>
    <w:rsid w:val="005035ED"/>
    <w:rsid w:val="00505FD0"/>
    <w:rsid w:val="00506704"/>
    <w:rsid w:val="005141D0"/>
    <w:rsid w:val="005215E8"/>
    <w:rsid w:val="00530859"/>
    <w:rsid w:val="00541067"/>
    <w:rsid w:val="00543E40"/>
    <w:rsid w:val="00546CC2"/>
    <w:rsid w:val="00547085"/>
    <w:rsid w:val="00552BE3"/>
    <w:rsid w:val="005627FC"/>
    <w:rsid w:val="005629CA"/>
    <w:rsid w:val="0056375F"/>
    <w:rsid w:val="005703F5"/>
    <w:rsid w:val="00571CE4"/>
    <w:rsid w:val="00574637"/>
    <w:rsid w:val="0057700F"/>
    <w:rsid w:val="00592F25"/>
    <w:rsid w:val="005A17BD"/>
    <w:rsid w:val="005A19F3"/>
    <w:rsid w:val="005A49A8"/>
    <w:rsid w:val="005A54F4"/>
    <w:rsid w:val="005B277C"/>
    <w:rsid w:val="005B378A"/>
    <w:rsid w:val="005C5D4D"/>
    <w:rsid w:val="005D1353"/>
    <w:rsid w:val="005E7BE5"/>
    <w:rsid w:val="005E7ED4"/>
    <w:rsid w:val="005F467D"/>
    <w:rsid w:val="005F5C97"/>
    <w:rsid w:val="005F6DB7"/>
    <w:rsid w:val="0060013C"/>
    <w:rsid w:val="0060252C"/>
    <w:rsid w:val="00603ECC"/>
    <w:rsid w:val="00606D49"/>
    <w:rsid w:val="0061338F"/>
    <w:rsid w:val="00626E31"/>
    <w:rsid w:val="006320A9"/>
    <w:rsid w:val="006343C7"/>
    <w:rsid w:val="006458EB"/>
    <w:rsid w:val="00646269"/>
    <w:rsid w:val="00651600"/>
    <w:rsid w:val="00651F80"/>
    <w:rsid w:val="0065356D"/>
    <w:rsid w:val="00665B75"/>
    <w:rsid w:val="00670E34"/>
    <w:rsid w:val="0067183F"/>
    <w:rsid w:val="00680438"/>
    <w:rsid w:val="00680DFC"/>
    <w:rsid w:val="006846A4"/>
    <w:rsid w:val="00687198"/>
    <w:rsid w:val="00696E90"/>
    <w:rsid w:val="006A4066"/>
    <w:rsid w:val="006C0F28"/>
    <w:rsid w:val="006C7C01"/>
    <w:rsid w:val="006D2B4B"/>
    <w:rsid w:val="006D3DCD"/>
    <w:rsid w:val="006D5BC6"/>
    <w:rsid w:val="006E1256"/>
    <w:rsid w:val="006E1AB5"/>
    <w:rsid w:val="006F6AE5"/>
    <w:rsid w:val="006F79B3"/>
    <w:rsid w:val="00704D9B"/>
    <w:rsid w:val="00704FB4"/>
    <w:rsid w:val="0070597A"/>
    <w:rsid w:val="00705D62"/>
    <w:rsid w:val="00715AAC"/>
    <w:rsid w:val="00727827"/>
    <w:rsid w:val="00737D94"/>
    <w:rsid w:val="0074163F"/>
    <w:rsid w:val="00744644"/>
    <w:rsid w:val="00747506"/>
    <w:rsid w:val="00756A8D"/>
    <w:rsid w:val="00761E0E"/>
    <w:rsid w:val="007666EE"/>
    <w:rsid w:val="00773FCE"/>
    <w:rsid w:val="0077594D"/>
    <w:rsid w:val="00783023"/>
    <w:rsid w:val="0078541C"/>
    <w:rsid w:val="0079114F"/>
    <w:rsid w:val="00791B76"/>
    <w:rsid w:val="00796C3E"/>
    <w:rsid w:val="007B1E0D"/>
    <w:rsid w:val="007B258F"/>
    <w:rsid w:val="007C2A32"/>
    <w:rsid w:val="007C75C7"/>
    <w:rsid w:val="007C7DBB"/>
    <w:rsid w:val="007D02FF"/>
    <w:rsid w:val="007D2DB4"/>
    <w:rsid w:val="007E2224"/>
    <w:rsid w:val="007E25CF"/>
    <w:rsid w:val="007E55CF"/>
    <w:rsid w:val="007F1952"/>
    <w:rsid w:val="007F44E4"/>
    <w:rsid w:val="007F74B0"/>
    <w:rsid w:val="00802C19"/>
    <w:rsid w:val="008116BA"/>
    <w:rsid w:val="008119B8"/>
    <w:rsid w:val="0081790B"/>
    <w:rsid w:val="00824FCE"/>
    <w:rsid w:val="00825D90"/>
    <w:rsid w:val="00834D6A"/>
    <w:rsid w:val="008379F5"/>
    <w:rsid w:val="00840A94"/>
    <w:rsid w:val="00847D71"/>
    <w:rsid w:val="008543DE"/>
    <w:rsid w:val="008600F7"/>
    <w:rsid w:val="008608D8"/>
    <w:rsid w:val="00862064"/>
    <w:rsid w:val="00870B85"/>
    <w:rsid w:val="00871594"/>
    <w:rsid w:val="00885957"/>
    <w:rsid w:val="00886154"/>
    <w:rsid w:val="00891E66"/>
    <w:rsid w:val="00894D6D"/>
    <w:rsid w:val="008B2C77"/>
    <w:rsid w:val="008B7616"/>
    <w:rsid w:val="008D2DA4"/>
    <w:rsid w:val="008D42B4"/>
    <w:rsid w:val="008D48E3"/>
    <w:rsid w:val="008E013E"/>
    <w:rsid w:val="008E41A6"/>
    <w:rsid w:val="008E64B2"/>
    <w:rsid w:val="008E6515"/>
    <w:rsid w:val="008F0719"/>
    <w:rsid w:val="00902BBD"/>
    <w:rsid w:val="00911D89"/>
    <w:rsid w:val="009121AC"/>
    <w:rsid w:val="009249F2"/>
    <w:rsid w:val="009268ED"/>
    <w:rsid w:val="009336A7"/>
    <w:rsid w:val="0095222B"/>
    <w:rsid w:val="009606AD"/>
    <w:rsid w:val="0096096A"/>
    <w:rsid w:val="009664D4"/>
    <w:rsid w:val="00966873"/>
    <w:rsid w:val="009701D0"/>
    <w:rsid w:val="00991402"/>
    <w:rsid w:val="00991A05"/>
    <w:rsid w:val="009960B7"/>
    <w:rsid w:val="009A0957"/>
    <w:rsid w:val="009A392D"/>
    <w:rsid w:val="009B147A"/>
    <w:rsid w:val="009B14B7"/>
    <w:rsid w:val="009B73C7"/>
    <w:rsid w:val="009C10F8"/>
    <w:rsid w:val="009D74AC"/>
    <w:rsid w:val="009E1C67"/>
    <w:rsid w:val="009F79C5"/>
    <w:rsid w:val="00A0022B"/>
    <w:rsid w:val="00A02C4D"/>
    <w:rsid w:val="00A078FD"/>
    <w:rsid w:val="00A21C9A"/>
    <w:rsid w:val="00A4193F"/>
    <w:rsid w:val="00A41D68"/>
    <w:rsid w:val="00A42F98"/>
    <w:rsid w:val="00A51AA1"/>
    <w:rsid w:val="00A53C96"/>
    <w:rsid w:val="00A5701A"/>
    <w:rsid w:val="00A6256D"/>
    <w:rsid w:val="00A7079F"/>
    <w:rsid w:val="00A74743"/>
    <w:rsid w:val="00A7474C"/>
    <w:rsid w:val="00A75A95"/>
    <w:rsid w:val="00A846A0"/>
    <w:rsid w:val="00A84ABA"/>
    <w:rsid w:val="00A87E86"/>
    <w:rsid w:val="00A96A43"/>
    <w:rsid w:val="00A973AB"/>
    <w:rsid w:val="00AA664A"/>
    <w:rsid w:val="00AB24AE"/>
    <w:rsid w:val="00AB46F7"/>
    <w:rsid w:val="00AB6BB5"/>
    <w:rsid w:val="00AC7A55"/>
    <w:rsid w:val="00AE01D0"/>
    <w:rsid w:val="00AE0CFA"/>
    <w:rsid w:val="00AE1931"/>
    <w:rsid w:val="00AE61BF"/>
    <w:rsid w:val="00AF2C9F"/>
    <w:rsid w:val="00AF6B21"/>
    <w:rsid w:val="00B00E70"/>
    <w:rsid w:val="00B0162F"/>
    <w:rsid w:val="00B0418E"/>
    <w:rsid w:val="00B045B2"/>
    <w:rsid w:val="00B1270A"/>
    <w:rsid w:val="00B1671D"/>
    <w:rsid w:val="00B177DB"/>
    <w:rsid w:val="00B27356"/>
    <w:rsid w:val="00B433E6"/>
    <w:rsid w:val="00B46FAA"/>
    <w:rsid w:val="00B50909"/>
    <w:rsid w:val="00B51B62"/>
    <w:rsid w:val="00B52E7C"/>
    <w:rsid w:val="00B56A9F"/>
    <w:rsid w:val="00B6057C"/>
    <w:rsid w:val="00B628DE"/>
    <w:rsid w:val="00B64D96"/>
    <w:rsid w:val="00B67AC7"/>
    <w:rsid w:val="00B7025A"/>
    <w:rsid w:val="00B76C27"/>
    <w:rsid w:val="00B9665A"/>
    <w:rsid w:val="00B97789"/>
    <w:rsid w:val="00BA11E3"/>
    <w:rsid w:val="00BA28AF"/>
    <w:rsid w:val="00BA4175"/>
    <w:rsid w:val="00BB1A6A"/>
    <w:rsid w:val="00BC246D"/>
    <w:rsid w:val="00BC4B10"/>
    <w:rsid w:val="00BC4C14"/>
    <w:rsid w:val="00BC57A9"/>
    <w:rsid w:val="00BD4D69"/>
    <w:rsid w:val="00C05709"/>
    <w:rsid w:val="00C064E3"/>
    <w:rsid w:val="00C065E6"/>
    <w:rsid w:val="00C12939"/>
    <w:rsid w:val="00C15516"/>
    <w:rsid w:val="00C173BB"/>
    <w:rsid w:val="00C228F4"/>
    <w:rsid w:val="00C271D4"/>
    <w:rsid w:val="00C314CC"/>
    <w:rsid w:val="00C35124"/>
    <w:rsid w:val="00C457A8"/>
    <w:rsid w:val="00C64F10"/>
    <w:rsid w:val="00C65CAC"/>
    <w:rsid w:val="00C65F8D"/>
    <w:rsid w:val="00C67CB8"/>
    <w:rsid w:val="00C7651C"/>
    <w:rsid w:val="00C77DC8"/>
    <w:rsid w:val="00C817E7"/>
    <w:rsid w:val="00C82BB5"/>
    <w:rsid w:val="00C83B76"/>
    <w:rsid w:val="00C87CF5"/>
    <w:rsid w:val="00C90B04"/>
    <w:rsid w:val="00C90FF6"/>
    <w:rsid w:val="00C9624C"/>
    <w:rsid w:val="00C96C08"/>
    <w:rsid w:val="00C97748"/>
    <w:rsid w:val="00CA2075"/>
    <w:rsid w:val="00CA764D"/>
    <w:rsid w:val="00CC199C"/>
    <w:rsid w:val="00CC761D"/>
    <w:rsid w:val="00CD31FD"/>
    <w:rsid w:val="00CD37B2"/>
    <w:rsid w:val="00CD599A"/>
    <w:rsid w:val="00CE1400"/>
    <w:rsid w:val="00CE1819"/>
    <w:rsid w:val="00CE2049"/>
    <w:rsid w:val="00CE2B39"/>
    <w:rsid w:val="00CE38FB"/>
    <w:rsid w:val="00CF47D7"/>
    <w:rsid w:val="00D041A8"/>
    <w:rsid w:val="00D12AE2"/>
    <w:rsid w:val="00D13FCB"/>
    <w:rsid w:val="00D140CE"/>
    <w:rsid w:val="00D15497"/>
    <w:rsid w:val="00D17B1E"/>
    <w:rsid w:val="00D206DE"/>
    <w:rsid w:val="00D34CFD"/>
    <w:rsid w:val="00D37CF6"/>
    <w:rsid w:val="00D52BC6"/>
    <w:rsid w:val="00D55E1D"/>
    <w:rsid w:val="00D57C06"/>
    <w:rsid w:val="00D60272"/>
    <w:rsid w:val="00D74A78"/>
    <w:rsid w:val="00D752BA"/>
    <w:rsid w:val="00D759BD"/>
    <w:rsid w:val="00D75DCF"/>
    <w:rsid w:val="00D851F0"/>
    <w:rsid w:val="00D87076"/>
    <w:rsid w:val="00DA1E04"/>
    <w:rsid w:val="00DA3FF0"/>
    <w:rsid w:val="00DB33AD"/>
    <w:rsid w:val="00DC5125"/>
    <w:rsid w:val="00DD0F41"/>
    <w:rsid w:val="00DD2315"/>
    <w:rsid w:val="00DD69BC"/>
    <w:rsid w:val="00DE0337"/>
    <w:rsid w:val="00DF2415"/>
    <w:rsid w:val="00DF417D"/>
    <w:rsid w:val="00E03A43"/>
    <w:rsid w:val="00E052AB"/>
    <w:rsid w:val="00E10DD4"/>
    <w:rsid w:val="00E1107F"/>
    <w:rsid w:val="00E12B64"/>
    <w:rsid w:val="00E12E4F"/>
    <w:rsid w:val="00E179AD"/>
    <w:rsid w:val="00E209BF"/>
    <w:rsid w:val="00E270D3"/>
    <w:rsid w:val="00E30001"/>
    <w:rsid w:val="00E32259"/>
    <w:rsid w:val="00E3295C"/>
    <w:rsid w:val="00E3298A"/>
    <w:rsid w:val="00E34B81"/>
    <w:rsid w:val="00E37E8A"/>
    <w:rsid w:val="00E37F56"/>
    <w:rsid w:val="00E56D49"/>
    <w:rsid w:val="00E5752F"/>
    <w:rsid w:val="00E7512B"/>
    <w:rsid w:val="00E84680"/>
    <w:rsid w:val="00E849BE"/>
    <w:rsid w:val="00E85B7E"/>
    <w:rsid w:val="00E868C9"/>
    <w:rsid w:val="00E93E9B"/>
    <w:rsid w:val="00EA7654"/>
    <w:rsid w:val="00EB32BA"/>
    <w:rsid w:val="00EB436F"/>
    <w:rsid w:val="00EC49E5"/>
    <w:rsid w:val="00EC7491"/>
    <w:rsid w:val="00ED35C7"/>
    <w:rsid w:val="00ED6568"/>
    <w:rsid w:val="00EE201A"/>
    <w:rsid w:val="00EE30EF"/>
    <w:rsid w:val="00EE3494"/>
    <w:rsid w:val="00EE3A65"/>
    <w:rsid w:val="00EE67F8"/>
    <w:rsid w:val="00EF4046"/>
    <w:rsid w:val="00EF5433"/>
    <w:rsid w:val="00EF6BA3"/>
    <w:rsid w:val="00F021D7"/>
    <w:rsid w:val="00F03D9F"/>
    <w:rsid w:val="00F04420"/>
    <w:rsid w:val="00F07194"/>
    <w:rsid w:val="00F100A0"/>
    <w:rsid w:val="00F11C5D"/>
    <w:rsid w:val="00F14DAF"/>
    <w:rsid w:val="00F2638C"/>
    <w:rsid w:val="00F36A82"/>
    <w:rsid w:val="00F45E98"/>
    <w:rsid w:val="00F61EEC"/>
    <w:rsid w:val="00F72CB8"/>
    <w:rsid w:val="00F74AC2"/>
    <w:rsid w:val="00F83803"/>
    <w:rsid w:val="00F869B6"/>
    <w:rsid w:val="00F91880"/>
    <w:rsid w:val="00F9403F"/>
    <w:rsid w:val="00F94104"/>
    <w:rsid w:val="00F9426C"/>
    <w:rsid w:val="00F96E16"/>
    <w:rsid w:val="00FA7070"/>
    <w:rsid w:val="00FB52B6"/>
    <w:rsid w:val="00FC0AE7"/>
    <w:rsid w:val="00FD3190"/>
    <w:rsid w:val="00FD479A"/>
    <w:rsid w:val="00FD73F7"/>
    <w:rsid w:val="00FE3BE6"/>
    <w:rsid w:val="00FF7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BF0D"/>
  <w15:chartTrackingRefBased/>
  <w15:docId w15:val="{49C067A2-D55E-4620-B8FC-1EC0FEC6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EEA"/>
    <w:pPr>
      <w:spacing w:after="0" w:line="360" w:lineRule="auto"/>
      <w:jc w:val="both"/>
    </w:pPr>
    <w:rPr>
      <w:rFonts w:ascii="Arial" w:eastAsiaTheme="minorEastAsia" w:hAnsi="Arial"/>
      <w:noProof/>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1824F9"/>
    <w:pPr>
      <w:spacing w:before="100" w:beforeAutospacing="1" w:after="100" w:afterAutospacing="1" w:line="240" w:lineRule="auto"/>
    </w:pPr>
    <w:rPr>
      <w:rFonts w:ascii="Times New Roman" w:eastAsia="Times New Roman" w:hAnsi="Times New Roman" w:cs="Times New Roman"/>
      <w:szCs w:val="24"/>
    </w:rPr>
  </w:style>
  <w:style w:type="paragraph" w:styleId="Textodebalo">
    <w:name w:val="Balloon Text"/>
    <w:basedOn w:val="Normal"/>
    <w:link w:val="TextodebaloChar"/>
    <w:uiPriority w:val="99"/>
    <w:semiHidden/>
    <w:unhideWhenUsed/>
    <w:rsid w:val="001F45D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45D3"/>
    <w:rPr>
      <w:rFonts w:ascii="Tahoma" w:eastAsiaTheme="minorEastAsia" w:hAnsi="Tahoma" w:cs="Tahoma"/>
      <w:sz w:val="16"/>
      <w:szCs w:val="16"/>
      <w:lang w:eastAsia="pt-BR"/>
    </w:rPr>
  </w:style>
  <w:style w:type="table" w:styleId="Tabelacomgrade">
    <w:name w:val="Table Grid"/>
    <w:basedOn w:val="Tabelanormal"/>
    <w:uiPriority w:val="59"/>
    <w:rsid w:val="00EC49E5"/>
    <w:pPr>
      <w:spacing w:after="0" w:line="240" w:lineRule="auto"/>
      <w:jc w:val="both"/>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C49E5"/>
    <w:pPr>
      <w:ind w:left="720"/>
      <w:contextualSpacing/>
    </w:pPr>
  </w:style>
  <w:style w:type="paragraph" w:styleId="Cabealho">
    <w:name w:val="header"/>
    <w:basedOn w:val="Normal"/>
    <w:link w:val="CabealhoChar"/>
    <w:uiPriority w:val="99"/>
    <w:rsid w:val="00BA28AF"/>
    <w:pPr>
      <w:tabs>
        <w:tab w:val="center" w:pos="4419"/>
        <w:tab w:val="right" w:pos="8838"/>
      </w:tabs>
      <w:spacing w:line="240" w:lineRule="auto"/>
    </w:pPr>
    <w:rPr>
      <w:rFonts w:ascii="Times New Roman" w:eastAsia="Times New Roman" w:hAnsi="Times New Roman" w:cs="Times New Roman"/>
      <w:szCs w:val="20"/>
    </w:rPr>
  </w:style>
  <w:style w:type="character" w:customStyle="1" w:styleId="CabealhoChar">
    <w:name w:val="Cabeçalho Char"/>
    <w:basedOn w:val="Fontepargpadro"/>
    <w:link w:val="Cabealho"/>
    <w:uiPriority w:val="99"/>
    <w:rsid w:val="00BA28AF"/>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BA28AF"/>
    <w:rPr>
      <w:color w:val="0000FF"/>
      <w:u w:val="single"/>
    </w:rPr>
  </w:style>
  <w:style w:type="character" w:styleId="MenoPendente">
    <w:name w:val="Unresolved Mention"/>
    <w:basedOn w:val="Fontepargpadro"/>
    <w:uiPriority w:val="99"/>
    <w:semiHidden/>
    <w:unhideWhenUsed/>
    <w:rsid w:val="00182749"/>
    <w:rPr>
      <w:color w:val="605E5C"/>
      <w:shd w:val="clear" w:color="auto" w:fill="E1DFDD"/>
    </w:rPr>
  </w:style>
  <w:style w:type="paragraph" w:styleId="Rodap">
    <w:name w:val="footer"/>
    <w:basedOn w:val="Normal"/>
    <w:link w:val="RodapChar"/>
    <w:uiPriority w:val="99"/>
    <w:unhideWhenUsed/>
    <w:rsid w:val="007D02FF"/>
    <w:pPr>
      <w:tabs>
        <w:tab w:val="center" w:pos="4252"/>
        <w:tab w:val="right" w:pos="8504"/>
      </w:tabs>
      <w:spacing w:line="240" w:lineRule="auto"/>
    </w:pPr>
  </w:style>
  <w:style w:type="character" w:customStyle="1" w:styleId="RodapChar">
    <w:name w:val="Rodapé Char"/>
    <w:basedOn w:val="Fontepargpadro"/>
    <w:link w:val="Rodap"/>
    <w:uiPriority w:val="99"/>
    <w:rsid w:val="007D02FF"/>
    <w:rPr>
      <w:rFonts w:ascii="Arial" w:eastAsiaTheme="minorEastAsia" w:hAnsi="Arial"/>
      <w:noProof/>
      <w:sz w:val="24"/>
      <w:lang w:eastAsia="pt-BR"/>
    </w:rPr>
  </w:style>
  <w:style w:type="paragraph" w:styleId="Textodenotaderodap">
    <w:name w:val="footnote text"/>
    <w:basedOn w:val="Normal"/>
    <w:link w:val="TextodenotaderodapChar"/>
    <w:uiPriority w:val="99"/>
    <w:semiHidden/>
    <w:unhideWhenUsed/>
    <w:rsid w:val="0037144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7144E"/>
    <w:rPr>
      <w:rFonts w:ascii="Arial" w:eastAsiaTheme="minorEastAsia" w:hAnsi="Arial"/>
      <w:noProof/>
      <w:sz w:val="20"/>
      <w:szCs w:val="20"/>
      <w:lang w:eastAsia="pt-BR"/>
    </w:rPr>
  </w:style>
  <w:style w:type="character" w:styleId="Refdenotaderodap">
    <w:name w:val="footnote reference"/>
    <w:basedOn w:val="Fontepargpadro"/>
    <w:uiPriority w:val="99"/>
    <w:semiHidden/>
    <w:unhideWhenUsed/>
    <w:rsid w:val="003714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ographia.com/db-worldua.pdf" TargetMode="External"/><Relationship Id="rId13" Type="http://schemas.openxmlformats.org/officeDocument/2006/relationships/hyperlink" Target="mailto:alda_paulina@yaho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mbeo.com/cost-of-liv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ercer.com/" TargetMode="External"/><Relationship Id="rId4" Type="http://schemas.openxmlformats.org/officeDocument/2006/relationships/settings" Target="settings.xml"/><Relationship Id="rId9" Type="http://schemas.openxmlformats.org/officeDocument/2006/relationships/hyperlink" Target="https://europe.uli.org" TargetMode="External"/><Relationship Id="rId14" Type="http://schemas.openxmlformats.org/officeDocument/2006/relationships/hyperlink" Target="mailto:laurolffilho@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umbeo.com/cost-of-living/" TargetMode="External"/><Relationship Id="rId1" Type="http://schemas.openxmlformats.org/officeDocument/2006/relationships/hyperlink" Target="http://www.br.undp.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1536-A7BA-4BBA-A760-D4C4BED1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7662</Words>
  <Characters>41380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Paulina dos Santos</dc:creator>
  <cp:keywords/>
  <dc:description/>
  <cp:lastModifiedBy>Alda Paulina dos Santos</cp:lastModifiedBy>
  <cp:revision>2</cp:revision>
  <cp:lastPrinted>2020-12-08T19:13:00Z</cp:lastPrinted>
  <dcterms:created xsi:type="dcterms:W3CDTF">2021-05-06T19:10:00Z</dcterms:created>
  <dcterms:modified xsi:type="dcterms:W3CDTF">2021-05-06T19:10:00Z</dcterms:modified>
</cp:coreProperties>
</file>