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1B2587" w:rsidRDefault="00076C66">
      <w:pPr>
        <w:jc w:val="center"/>
        <w:rPr>
          <w:rFonts w:ascii="Arial" w:eastAsia="Arial" w:hAnsi="Arial" w:cs="Arial"/>
          <w:b/>
          <w:sz w:val="28"/>
          <w:szCs w:val="28"/>
          <w:highlight w:val="white"/>
        </w:rPr>
      </w:pPr>
      <w:bookmarkStart w:id="0" w:name="_heading=h.oyszkcv9yaqa" w:colFirst="0" w:colLast="0"/>
      <w:bookmarkEnd w:id="0"/>
      <w:r>
        <w:rPr>
          <w:rFonts w:ascii="Arial" w:eastAsia="Arial" w:hAnsi="Arial" w:cs="Arial"/>
          <w:b/>
          <w:sz w:val="28"/>
          <w:szCs w:val="28"/>
          <w:highlight w:val="white"/>
        </w:rPr>
        <w:t xml:space="preserve"> MAPEAMENTO DO ECOSSISTEMA REGIONAL DE INOVAÇÃO DA REGIÃO DOS VALES DO RIO PARDO E TAQUARI</w:t>
      </w:r>
    </w:p>
    <w:p w14:paraId="00000002" w14:textId="77777777" w:rsidR="001B2587" w:rsidRDefault="001B2587">
      <w:pPr>
        <w:spacing w:after="0" w:line="360" w:lineRule="auto"/>
        <w:jc w:val="center"/>
        <w:rPr>
          <w:rFonts w:ascii="Arial" w:eastAsia="Arial" w:hAnsi="Arial" w:cs="Arial"/>
          <w:b/>
          <w:sz w:val="28"/>
          <w:szCs w:val="28"/>
          <w:highlight w:val="white"/>
        </w:rPr>
      </w:pPr>
      <w:bookmarkStart w:id="1" w:name="_heading=h.c7sf6i6evtg8" w:colFirst="0" w:colLast="0"/>
      <w:bookmarkEnd w:id="1"/>
    </w:p>
    <w:p w14:paraId="00000003" w14:textId="77777777" w:rsidR="001B2587" w:rsidRDefault="00076C66">
      <w:pPr>
        <w:spacing w:after="0" w:line="360" w:lineRule="auto"/>
        <w:jc w:val="both"/>
        <w:rPr>
          <w:rFonts w:ascii="Arial" w:eastAsia="Arial" w:hAnsi="Arial" w:cs="Arial"/>
        </w:rPr>
      </w:pPr>
      <w:r>
        <w:rPr>
          <w:rFonts w:ascii="Arial" w:eastAsia="Arial" w:hAnsi="Arial" w:cs="Arial"/>
          <w:b/>
        </w:rPr>
        <w:t xml:space="preserve">Resumo: </w:t>
      </w:r>
      <w:r>
        <w:rPr>
          <w:rFonts w:ascii="Arial" w:eastAsia="Arial" w:hAnsi="Arial" w:cs="Arial"/>
        </w:rPr>
        <w:t>O objetivo deste estudo foi ter uma compreensão do ecossistema de inovação da região dos Vales sob a ótica dos governos municipais. A Região é composta por 59 municípios, sendo 36 deles localizados no Vale do Taquari e 23 no Vale do Rio Pardo. Foi realizad</w:t>
      </w:r>
      <w:r>
        <w:rPr>
          <w:rFonts w:ascii="Arial" w:eastAsia="Arial" w:hAnsi="Arial" w:cs="Arial"/>
        </w:rPr>
        <w:t>a uma pesquisa descritiva, com aplicação de questionário quali-quanti utilizando a ferramenta Google Forms para enviar a pesquisa, e tabular os resultados. O questionário foi respondido por 62 representantes de 40 municípios, totalizando 67,8% dos municípi</w:t>
      </w:r>
      <w:r>
        <w:rPr>
          <w:rFonts w:ascii="Arial" w:eastAsia="Arial" w:hAnsi="Arial" w:cs="Arial"/>
        </w:rPr>
        <w:t>os da Região dos Vales. A partir das respostas foi possível analisar diversas dimensões importantes para o mapeamento do ecossistema regional de inovação (ERI). Nas áreas portadoras de futuro para a região foram elencados os setores de alimentos, energétic</w:t>
      </w:r>
      <w:r>
        <w:rPr>
          <w:rFonts w:ascii="Arial" w:eastAsia="Arial" w:hAnsi="Arial" w:cs="Arial"/>
        </w:rPr>
        <w:t>as e/ou ambientais, madeira e móveis, e, saúde. Quanto às percepções sobre cultura empreendedora nos municípios, 43,63% dos respondentes, citaram eventos diversos e voltados ao entretenimento e turismo do município, com menor foco em inovação. Quanto à exi</w:t>
      </w:r>
      <w:r>
        <w:rPr>
          <w:rFonts w:ascii="Arial" w:eastAsia="Arial" w:hAnsi="Arial" w:cs="Arial"/>
        </w:rPr>
        <w:t>stência de pessoas que falam sobre empreendedorismo e inovação, 54% dos respondentes indicaram a inexistência de pessoas de referência sobre o tema. Já em relação à existência de espaços abertos e/ou colaborativos no município, 84% declararam a falta desse</w:t>
      </w:r>
      <w:r>
        <w:rPr>
          <w:rFonts w:ascii="Arial" w:eastAsia="Arial" w:hAnsi="Arial" w:cs="Arial"/>
        </w:rPr>
        <w:t>s espaços. No que tange às leis de inovação, foi observado que existem poucas leis específicas para inovação. Este trabalho, portanto, contribui para compreender o ecossistema de inovação da região dos Vales e os direcionadores podem ser utilizados para ou</w:t>
      </w:r>
      <w:r>
        <w:rPr>
          <w:rFonts w:ascii="Arial" w:eastAsia="Arial" w:hAnsi="Arial" w:cs="Arial"/>
        </w:rPr>
        <w:t>tros ecossistemas de inovação.</w:t>
      </w:r>
    </w:p>
    <w:p w14:paraId="00000004" w14:textId="77777777" w:rsidR="001B2587" w:rsidRDefault="001B2587">
      <w:pPr>
        <w:spacing w:after="0" w:line="360" w:lineRule="auto"/>
        <w:jc w:val="both"/>
        <w:rPr>
          <w:rFonts w:ascii="Arial" w:eastAsia="Arial" w:hAnsi="Arial" w:cs="Arial"/>
        </w:rPr>
      </w:pPr>
    </w:p>
    <w:p w14:paraId="00000005" w14:textId="77777777" w:rsidR="001B2587" w:rsidRDefault="00076C66">
      <w:pPr>
        <w:spacing w:after="0" w:line="360" w:lineRule="auto"/>
        <w:jc w:val="both"/>
        <w:rPr>
          <w:rFonts w:ascii="Arial" w:eastAsia="Arial" w:hAnsi="Arial" w:cs="Arial"/>
          <w:sz w:val="24"/>
          <w:szCs w:val="24"/>
        </w:rPr>
      </w:pPr>
      <w:r>
        <w:rPr>
          <w:rFonts w:ascii="Arial" w:eastAsia="Arial" w:hAnsi="Arial" w:cs="Arial"/>
          <w:b/>
          <w:sz w:val="24"/>
          <w:szCs w:val="24"/>
        </w:rPr>
        <w:t>Palavras-chave:</w:t>
      </w:r>
      <w:r>
        <w:rPr>
          <w:rFonts w:ascii="Arial" w:eastAsia="Arial" w:hAnsi="Arial" w:cs="Arial"/>
          <w:sz w:val="26"/>
          <w:szCs w:val="26"/>
        </w:rPr>
        <w:t xml:space="preserve"> </w:t>
      </w:r>
      <w:r w:rsidRPr="00076C66">
        <w:rPr>
          <w:rFonts w:ascii="Arial" w:eastAsia="Arial" w:hAnsi="Arial" w:cs="Arial"/>
        </w:rPr>
        <w:t>Leis de Incentivo. Percepção. Região dos Vales. Setor público. Inova-RS.</w:t>
      </w:r>
    </w:p>
    <w:p w14:paraId="00000006" w14:textId="77777777" w:rsidR="001B2587" w:rsidRDefault="001B2587">
      <w:pPr>
        <w:spacing w:after="0" w:line="360" w:lineRule="auto"/>
        <w:jc w:val="both"/>
        <w:rPr>
          <w:rFonts w:ascii="Arial" w:eastAsia="Arial" w:hAnsi="Arial" w:cs="Arial"/>
          <w:sz w:val="24"/>
          <w:szCs w:val="24"/>
        </w:rPr>
      </w:pPr>
    </w:p>
    <w:p w14:paraId="00000007" w14:textId="77777777" w:rsidR="001B2587" w:rsidRDefault="001B2587">
      <w:pPr>
        <w:spacing w:after="0" w:line="360" w:lineRule="auto"/>
        <w:jc w:val="both"/>
        <w:rPr>
          <w:rFonts w:ascii="Arial" w:eastAsia="Arial" w:hAnsi="Arial" w:cs="Arial"/>
          <w:sz w:val="24"/>
          <w:szCs w:val="24"/>
        </w:rPr>
      </w:pPr>
    </w:p>
    <w:p w14:paraId="00000008" w14:textId="77777777" w:rsidR="001B2587" w:rsidRDefault="001B2587">
      <w:pPr>
        <w:spacing w:after="0" w:line="360" w:lineRule="auto"/>
        <w:jc w:val="both"/>
        <w:rPr>
          <w:rFonts w:ascii="Arial" w:eastAsia="Arial" w:hAnsi="Arial" w:cs="Arial"/>
          <w:sz w:val="24"/>
          <w:szCs w:val="24"/>
        </w:rPr>
      </w:pPr>
    </w:p>
    <w:p w14:paraId="00000009" w14:textId="77777777" w:rsidR="001B2587" w:rsidRDefault="001B2587">
      <w:pPr>
        <w:spacing w:after="0" w:line="360" w:lineRule="auto"/>
        <w:jc w:val="both"/>
        <w:rPr>
          <w:rFonts w:ascii="Arial" w:eastAsia="Arial" w:hAnsi="Arial" w:cs="Arial"/>
          <w:sz w:val="24"/>
          <w:szCs w:val="24"/>
        </w:rPr>
      </w:pPr>
    </w:p>
    <w:p w14:paraId="0000000A" w14:textId="77777777" w:rsidR="001B2587" w:rsidRDefault="001B2587">
      <w:pPr>
        <w:spacing w:after="0" w:line="360" w:lineRule="auto"/>
        <w:jc w:val="both"/>
        <w:rPr>
          <w:rFonts w:ascii="Arial" w:eastAsia="Arial" w:hAnsi="Arial" w:cs="Arial"/>
          <w:sz w:val="24"/>
          <w:szCs w:val="24"/>
        </w:rPr>
      </w:pPr>
    </w:p>
    <w:p w14:paraId="0000000B" w14:textId="77777777" w:rsidR="001B2587" w:rsidRDefault="001B2587">
      <w:pPr>
        <w:spacing w:after="0" w:line="360" w:lineRule="auto"/>
        <w:jc w:val="both"/>
        <w:rPr>
          <w:rFonts w:ascii="Arial" w:eastAsia="Arial" w:hAnsi="Arial" w:cs="Arial"/>
          <w:sz w:val="24"/>
          <w:szCs w:val="24"/>
        </w:rPr>
      </w:pPr>
    </w:p>
    <w:p w14:paraId="0000000C" w14:textId="77777777" w:rsidR="001B2587" w:rsidRDefault="001B2587">
      <w:pPr>
        <w:spacing w:after="0" w:line="360" w:lineRule="auto"/>
        <w:jc w:val="both"/>
        <w:rPr>
          <w:rFonts w:ascii="Arial" w:eastAsia="Arial" w:hAnsi="Arial" w:cs="Arial"/>
          <w:sz w:val="24"/>
          <w:szCs w:val="24"/>
        </w:rPr>
      </w:pPr>
    </w:p>
    <w:p w14:paraId="0000000D" w14:textId="77777777" w:rsidR="001B2587" w:rsidRDefault="001B2587">
      <w:pPr>
        <w:spacing w:after="0" w:line="360" w:lineRule="auto"/>
        <w:jc w:val="both"/>
        <w:rPr>
          <w:rFonts w:ascii="Arial" w:eastAsia="Arial" w:hAnsi="Arial" w:cs="Arial"/>
          <w:sz w:val="24"/>
          <w:szCs w:val="24"/>
        </w:rPr>
      </w:pPr>
    </w:p>
    <w:p w14:paraId="0000000E" w14:textId="6DCF81E3" w:rsidR="001B2587" w:rsidRDefault="001B2587">
      <w:pPr>
        <w:spacing w:after="0" w:line="360" w:lineRule="auto"/>
        <w:jc w:val="both"/>
        <w:rPr>
          <w:rFonts w:ascii="Arial" w:eastAsia="Arial" w:hAnsi="Arial" w:cs="Arial"/>
          <w:sz w:val="24"/>
          <w:szCs w:val="24"/>
        </w:rPr>
      </w:pPr>
    </w:p>
    <w:p w14:paraId="4CB6D59A" w14:textId="77777777" w:rsidR="00076C66" w:rsidRDefault="00076C66">
      <w:pPr>
        <w:spacing w:after="0" w:line="360" w:lineRule="auto"/>
        <w:jc w:val="both"/>
        <w:rPr>
          <w:rFonts w:ascii="Arial" w:eastAsia="Arial" w:hAnsi="Arial" w:cs="Arial"/>
          <w:sz w:val="24"/>
          <w:szCs w:val="24"/>
        </w:rPr>
      </w:pPr>
    </w:p>
    <w:p w14:paraId="0000000F" w14:textId="77777777" w:rsidR="001B2587" w:rsidRDefault="001B2587">
      <w:pPr>
        <w:spacing w:after="0" w:line="360" w:lineRule="auto"/>
        <w:jc w:val="both"/>
        <w:rPr>
          <w:rFonts w:ascii="Arial" w:eastAsia="Arial" w:hAnsi="Arial" w:cs="Arial"/>
          <w:sz w:val="24"/>
          <w:szCs w:val="24"/>
        </w:rPr>
      </w:pPr>
    </w:p>
    <w:p w14:paraId="00000010" w14:textId="77777777" w:rsidR="001B2587" w:rsidRDefault="001B2587">
      <w:pPr>
        <w:spacing w:after="0" w:line="360" w:lineRule="auto"/>
        <w:jc w:val="both"/>
        <w:rPr>
          <w:rFonts w:ascii="Arial" w:eastAsia="Arial" w:hAnsi="Arial" w:cs="Arial"/>
          <w:sz w:val="24"/>
          <w:szCs w:val="24"/>
        </w:rPr>
      </w:pPr>
    </w:p>
    <w:p w14:paraId="00000011" w14:textId="77777777" w:rsidR="001B2587" w:rsidRDefault="00076C66">
      <w:pPr>
        <w:numPr>
          <w:ilvl w:val="0"/>
          <w:numId w:val="3"/>
        </w:numPr>
        <w:jc w:val="both"/>
        <w:rPr>
          <w:rFonts w:ascii="Arial" w:eastAsia="Arial" w:hAnsi="Arial" w:cs="Arial"/>
          <w:b/>
          <w:sz w:val="24"/>
          <w:szCs w:val="24"/>
        </w:rPr>
      </w:pPr>
      <w:bookmarkStart w:id="2" w:name="_heading=h.3n2z7no77sku" w:colFirst="0" w:colLast="0"/>
      <w:bookmarkEnd w:id="2"/>
      <w:r>
        <w:rPr>
          <w:rFonts w:ascii="Arial" w:eastAsia="Arial" w:hAnsi="Arial" w:cs="Arial"/>
          <w:b/>
          <w:sz w:val="24"/>
          <w:szCs w:val="24"/>
        </w:rPr>
        <w:lastRenderedPageBreak/>
        <w:t>Introdução</w:t>
      </w:r>
    </w:p>
    <w:p w14:paraId="00000012" w14:textId="77777777" w:rsidR="001B2587" w:rsidRDefault="00076C66">
      <w:pPr>
        <w:spacing w:after="0" w:line="360" w:lineRule="auto"/>
        <w:ind w:firstLine="720"/>
        <w:jc w:val="both"/>
        <w:rPr>
          <w:rFonts w:ascii="Arial" w:eastAsia="Arial" w:hAnsi="Arial" w:cs="Arial"/>
        </w:rPr>
      </w:pPr>
      <w:bookmarkStart w:id="3" w:name="_heading=h.wo374wt1nrrf" w:colFirst="0" w:colLast="0"/>
      <w:bookmarkEnd w:id="3"/>
      <w:r>
        <w:rPr>
          <w:rFonts w:ascii="Arial" w:eastAsia="Arial" w:hAnsi="Arial" w:cs="Arial"/>
        </w:rPr>
        <w:t>Nos últimos anos o tema inovação cada vez mais é discutido no setor público e tem proporcionado um aumento nas ex</w:t>
      </w:r>
      <w:r>
        <w:rPr>
          <w:rFonts w:ascii="Arial" w:eastAsia="Arial" w:hAnsi="Arial" w:cs="Arial"/>
        </w:rPr>
        <w:t>pectativas de sua modernização, estratégias de empreendedorismo estão sendo aplicadas de forma a tornar o serviço mais eficiente e eficaz, algumas dificuldades são constatadas na hora de gerir as estratégias no setor público, entre elas a legislação, a cul</w:t>
      </w:r>
      <w:r>
        <w:rPr>
          <w:rFonts w:ascii="Arial" w:eastAsia="Arial" w:hAnsi="Arial" w:cs="Arial"/>
        </w:rPr>
        <w:t>tura organizacional e as limitações de recursos, mas isso não torna impossível essa aplicabilidade (TEIXEIRA et al., 2019). Entre os que ajudam a impulsionar a inovação estão as universidades, pesquisadores, empreendedores, investidores, capitalistas de ri</w:t>
      </w:r>
      <w:r>
        <w:rPr>
          <w:rFonts w:ascii="Arial" w:eastAsia="Arial" w:hAnsi="Arial" w:cs="Arial"/>
        </w:rPr>
        <w:t>sco, instituições governamentais e não governamentais, bem como fornecedores de serviços técnicos e vem ganhando força pelo mundo (JACKSON, 2011).</w:t>
      </w:r>
    </w:p>
    <w:p w14:paraId="00000013" w14:textId="77777777" w:rsidR="001B2587" w:rsidRDefault="00076C66">
      <w:pPr>
        <w:spacing w:after="0" w:line="360" w:lineRule="auto"/>
        <w:ind w:firstLine="720"/>
        <w:jc w:val="both"/>
        <w:rPr>
          <w:rFonts w:ascii="Arial" w:eastAsia="Arial" w:hAnsi="Arial" w:cs="Arial"/>
        </w:rPr>
      </w:pPr>
      <w:bookmarkStart w:id="4" w:name="_heading=h.bco05xr278c7" w:colFirst="0" w:colLast="0"/>
      <w:bookmarkEnd w:id="4"/>
      <w:r>
        <w:rPr>
          <w:rFonts w:ascii="Arial" w:eastAsia="Arial" w:hAnsi="Arial" w:cs="Arial"/>
          <w:highlight w:val="white"/>
        </w:rPr>
        <w:t>O termo de ecossistema é amplamente utilizado na gestão e no discurso econômico, para descrever grupos de ato</w:t>
      </w:r>
      <w:r>
        <w:rPr>
          <w:rFonts w:ascii="Arial" w:eastAsia="Arial" w:hAnsi="Arial" w:cs="Arial"/>
          <w:highlight w:val="white"/>
        </w:rPr>
        <w:t xml:space="preserve">res diferentes que trabalham em cooperação e interdependência </w:t>
      </w:r>
      <w:r>
        <w:rPr>
          <w:rFonts w:ascii="Arial" w:eastAsia="Arial" w:hAnsi="Arial" w:cs="Arial"/>
        </w:rPr>
        <w:t>(</w:t>
      </w:r>
      <w:r>
        <w:rPr>
          <w:rFonts w:ascii="Arial" w:eastAsia="Arial" w:hAnsi="Arial" w:cs="Arial"/>
          <w:highlight w:val="white"/>
        </w:rPr>
        <w:t xml:space="preserve">KOSLOSKY et al., 2014). </w:t>
      </w:r>
      <w:r>
        <w:rPr>
          <w:rFonts w:ascii="Arial" w:eastAsia="Arial" w:hAnsi="Arial" w:cs="Arial"/>
        </w:rPr>
        <w:t>A utilização de ecossistemas de inovação, onde a inovação é baseada no usuário, permite que estes assumam os mais variados papéis durante o processo, atuando desde a con</w:t>
      </w:r>
      <w:r>
        <w:rPr>
          <w:rFonts w:ascii="Arial" w:eastAsia="Arial" w:hAnsi="Arial" w:cs="Arial"/>
        </w:rPr>
        <w:t>cepção até a utilização dos bens e serviços gerados (</w:t>
      </w:r>
      <w:r>
        <w:rPr>
          <w:rFonts w:ascii="Arial" w:eastAsia="Arial" w:hAnsi="Arial" w:cs="Arial"/>
          <w:highlight w:val="white"/>
        </w:rPr>
        <w:t>KOSLOSKY et al., 2014)</w:t>
      </w:r>
      <w:r>
        <w:rPr>
          <w:rFonts w:ascii="Arial" w:eastAsia="Arial" w:hAnsi="Arial" w:cs="Arial"/>
        </w:rPr>
        <w:t>. Para inovar é necessário um ambiente propício para o desenvolvimento da criatividade, o compartilhamento do conhecimento, a geração de ideias e oportunidades, de projetos, propici</w:t>
      </w:r>
      <w:r>
        <w:rPr>
          <w:rFonts w:ascii="Arial" w:eastAsia="Arial" w:hAnsi="Arial" w:cs="Arial"/>
        </w:rPr>
        <w:t>ando a aprendizagem tanto individual quanto organizacional (CAMPOS et al., 2015).</w:t>
      </w:r>
    </w:p>
    <w:p w14:paraId="00000014" w14:textId="77777777" w:rsidR="001B2587" w:rsidRDefault="00076C66">
      <w:pPr>
        <w:spacing w:after="0" w:line="360" w:lineRule="auto"/>
        <w:ind w:firstLine="720"/>
        <w:jc w:val="both"/>
        <w:rPr>
          <w:rFonts w:ascii="Arial" w:eastAsia="Arial" w:hAnsi="Arial" w:cs="Arial"/>
          <w:highlight w:val="white"/>
        </w:rPr>
      </w:pPr>
      <w:bookmarkStart w:id="5" w:name="_heading=h.sg2zsq5x9uvm" w:colFirst="0" w:colLast="0"/>
      <w:bookmarkEnd w:id="5"/>
      <w:r>
        <w:rPr>
          <w:rFonts w:ascii="Arial" w:eastAsia="Arial" w:hAnsi="Arial" w:cs="Arial"/>
        </w:rPr>
        <w:t>No Brasil a Lei de Inovação Tecnológica nº 13.243 de 11 de janeiro de 2016 dispõe sobre estímulos ao desenvolvimento científico, à pesquisa, à capacitação científica e tecnol</w:t>
      </w:r>
      <w:r>
        <w:rPr>
          <w:rFonts w:ascii="Arial" w:eastAsia="Arial" w:hAnsi="Arial" w:cs="Arial"/>
        </w:rPr>
        <w:t>ógica e à inovação. Esta Lei estabelece medidas de incentivo à inovação e à pesquisa científica e tecnológica no ambiente produtivo, com vistas à capacitação tecnológica, ao alcance da autonomia tecnológica e ao desenvolvimento do sistema produtivo naciona</w:t>
      </w:r>
      <w:r>
        <w:rPr>
          <w:rFonts w:ascii="Arial" w:eastAsia="Arial" w:hAnsi="Arial" w:cs="Arial"/>
        </w:rPr>
        <w:t>l e regional do País</w:t>
      </w:r>
      <w:r>
        <w:rPr>
          <w:rFonts w:ascii="Arial" w:eastAsia="Arial" w:hAnsi="Arial" w:cs="Arial"/>
          <w:highlight w:val="white"/>
        </w:rPr>
        <w:t xml:space="preserve"> (BRASIL, 2016)</w:t>
      </w:r>
      <w:r>
        <w:rPr>
          <w:rFonts w:ascii="Arial" w:eastAsia="Arial" w:hAnsi="Arial" w:cs="Arial"/>
        </w:rPr>
        <w:t>. A lei foi um marco importante na evolução dos instrumentos de promoção e incentivo à inovação e à realização de parcerias tecnológicas entre os diversos atores no Brasil (</w:t>
      </w:r>
      <w:r>
        <w:rPr>
          <w:rFonts w:ascii="Arial" w:eastAsia="Arial" w:hAnsi="Arial" w:cs="Arial"/>
          <w:highlight w:val="white"/>
        </w:rPr>
        <w:t xml:space="preserve">KOSLOSKY et al., 2014). No estado do Rio Grande </w:t>
      </w:r>
      <w:r>
        <w:rPr>
          <w:rFonts w:ascii="Arial" w:eastAsia="Arial" w:hAnsi="Arial" w:cs="Arial"/>
          <w:highlight w:val="white"/>
        </w:rPr>
        <w:t>do Sul, a lei de inovação (13.196/2009) instituída em julho de 2009 (RIO GRANDE DO SUL, 2009), incentiva o desenvolvimento de um ecossistema regional de inovação (ERI).</w:t>
      </w:r>
    </w:p>
    <w:p w14:paraId="00000015" w14:textId="77777777" w:rsidR="001B2587" w:rsidRDefault="00076C66">
      <w:pPr>
        <w:spacing w:after="0" w:line="360" w:lineRule="auto"/>
        <w:ind w:firstLine="720"/>
        <w:jc w:val="both"/>
        <w:rPr>
          <w:rFonts w:ascii="Arial" w:eastAsia="Arial" w:hAnsi="Arial" w:cs="Arial"/>
          <w:sz w:val="24"/>
          <w:szCs w:val="24"/>
          <w:highlight w:val="white"/>
        </w:rPr>
      </w:pPr>
      <w:r>
        <w:rPr>
          <w:rFonts w:ascii="Arial" w:eastAsia="Arial" w:hAnsi="Arial" w:cs="Arial"/>
        </w:rPr>
        <w:t xml:space="preserve">Desta forma, na Região dos Vales, localizada no Rio Grande do Sul, Brasil, existem iniciativas que envolvem direta e indiretamente a dimensão da inovação e do empreendedorismo na promoção do desenvolvimento do ecossistema regional de inovação, </w:t>
      </w:r>
      <w:r>
        <w:rPr>
          <w:rFonts w:ascii="Arial" w:eastAsia="Arial" w:hAnsi="Arial" w:cs="Arial"/>
          <w:color w:val="000000"/>
        </w:rPr>
        <w:t xml:space="preserve">tais </w:t>
      </w:r>
      <w:r>
        <w:rPr>
          <w:rFonts w:ascii="Arial" w:eastAsia="Arial" w:hAnsi="Arial" w:cs="Arial"/>
        </w:rPr>
        <w:t>como, 1</w:t>
      </w:r>
      <w:r>
        <w:rPr>
          <w:rFonts w:ascii="Arial" w:eastAsia="Arial" w:hAnsi="Arial" w:cs="Arial"/>
        </w:rPr>
        <w:t>. Santa Cruz Novos Rumos/Assemp; 2. Comitê de Governança do Empreendedorismo de Santa Cruz do Sul; 3. Conselho Municipal de Ciência, Tecnologia e Inovação de Santa Cruz do Sul (COMCITI); 4. Pro_Move Lajeado; 5. Conselho Municipal de Ciência, Tecnologia e I</w:t>
      </w:r>
      <w:r>
        <w:rPr>
          <w:rFonts w:ascii="Arial" w:eastAsia="Arial" w:hAnsi="Arial" w:cs="Arial"/>
        </w:rPr>
        <w:t>novação de Lajeado (CMTI); 6. Comitê de Governança do Empreendedorismo de Lajeado; 7. Lei Rota da Inovação de Lajeado; e 8. Comitê de Governança do Empreendedorismo de Teutônia.</w:t>
      </w:r>
    </w:p>
    <w:p w14:paraId="00000016" w14:textId="77777777" w:rsidR="001B2587" w:rsidRDefault="00076C66">
      <w:pPr>
        <w:spacing w:after="0" w:line="360" w:lineRule="auto"/>
        <w:ind w:firstLine="720"/>
        <w:jc w:val="both"/>
        <w:rPr>
          <w:rFonts w:ascii="Arial" w:eastAsia="Arial" w:hAnsi="Arial" w:cs="Arial"/>
        </w:rPr>
      </w:pPr>
      <w:r>
        <w:rPr>
          <w:rFonts w:ascii="Arial" w:eastAsia="Arial" w:hAnsi="Arial" w:cs="Arial"/>
        </w:rPr>
        <w:lastRenderedPageBreak/>
        <w:t>Diante das considerações apresentadas, tem-se a seguinte questão de pesquisa p</w:t>
      </w:r>
      <w:r>
        <w:rPr>
          <w:rFonts w:ascii="Arial" w:eastAsia="Arial" w:hAnsi="Arial" w:cs="Arial"/>
        </w:rPr>
        <w:t xml:space="preserve">ara esse estudo: quais </w:t>
      </w:r>
      <w:r>
        <w:rPr>
          <w:rFonts w:ascii="Arial" w:eastAsia="Arial" w:hAnsi="Arial" w:cs="Arial"/>
          <w:i/>
        </w:rPr>
        <w:t>insights</w:t>
      </w:r>
      <w:r>
        <w:rPr>
          <w:rFonts w:ascii="Arial" w:eastAsia="Arial" w:hAnsi="Arial" w:cs="Arial"/>
        </w:rPr>
        <w:t xml:space="preserve"> podem ser obtidos através do mapeamento do ecossistema de inovação na Região dos Vales - RS? Assim, o objetivo deste estudo é compreender o ecossistema de inovação como um todo, sob a ótica dos governos municipais na Região </w:t>
      </w:r>
      <w:r>
        <w:rPr>
          <w:rFonts w:ascii="Arial" w:eastAsia="Arial" w:hAnsi="Arial" w:cs="Arial"/>
        </w:rPr>
        <w:t xml:space="preserve">dos Vales - RS. Além disso, como objetivos específicos, busca-se 1) apresentar as características dos municípios da Região dos Vales - RS; e 2) identificar os principais </w:t>
      </w:r>
      <w:r>
        <w:rPr>
          <w:rFonts w:ascii="Arial" w:eastAsia="Arial" w:hAnsi="Arial" w:cs="Arial"/>
          <w:i/>
        </w:rPr>
        <w:t>insights</w:t>
      </w:r>
      <w:r>
        <w:rPr>
          <w:rFonts w:ascii="Arial" w:eastAsia="Arial" w:hAnsi="Arial" w:cs="Arial"/>
        </w:rPr>
        <w:t xml:space="preserve"> do ecossistema de inovação na Região dos Vales - RS.</w:t>
      </w:r>
    </w:p>
    <w:p w14:paraId="00000017" w14:textId="77777777" w:rsidR="001B2587" w:rsidRDefault="00076C66">
      <w:pPr>
        <w:spacing w:after="0" w:line="360" w:lineRule="auto"/>
        <w:ind w:firstLine="720"/>
        <w:jc w:val="both"/>
        <w:rPr>
          <w:rFonts w:ascii="Arial" w:eastAsia="Arial" w:hAnsi="Arial" w:cs="Arial"/>
          <w:color w:val="FF0000"/>
        </w:rPr>
      </w:pPr>
      <w:bookmarkStart w:id="6" w:name="_heading=h.sfrvhpxyutgl" w:colFirst="0" w:colLast="0"/>
      <w:bookmarkEnd w:id="6"/>
      <w:r>
        <w:rPr>
          <w:rFonts w:ascii="Arial" w:eastAsia="Arial" w:hAnsi="Arial" w:cs="Arial"/>
        </w:rPr>
        <w:t>Além dessa introdução, o</w:t>
      </w:r>
      <w:r>
        <w:rPr>
          <w:rFonts w:ascii="Arial" w:eastAsia="Arial" w:hAnsi="Arial" w:cs="Arial"/>
        </w:rPr>
        <w:t xml:space="preserve"> estudo inicia-se com uma breve descrição do mapeamento do ecossistema regional de inovação. Apresenta-se o processo metodológico utilizado e, por fim, são apresentados os resultados do estudo. Na última seção, foram tecidas algumas considerações finais.</w:t>
      </w:r>
    </w:p>
    <w:p w14:paraId="00000018" w14:textId="77777777" w:rsidR="001B2587" w:rsidRDefault="001B2587">
      <w:pPr>
        <w:spacing w:after="0" w:line="360" w:lineRule="auto"/>
        <w:ind w:left="720" w:firstLine="720"/>
        <w:jc w:val="both"/>
        <w:rPr>
          <w:rFonts w:ascii="Arial" w:eastAsia="Arial" w:hAnsi="Arial" w:cs="Arial"/>
          <w:color w:val="FF0000"/>
        </w:rPr>
      </w:pPr>
      <w:bookmarkStart w:id="7" w:name="_heading=h.smr4oydwqe0" w:colFirst="0" w:colLast="0"/>
      <w:bookmarkEnd w:id="7"/>
    </w:p>
    <w:p w14:paraId="00000019" w14:textId="77777777" w:rsidR="001B2587" w:rsidRDefault="00076C66">
      <w:pPr>
        <w:numPr>
          <w:ilvl w:val="0"/>
          <w:numId w:val="3"/>
        </w:numPr>
        <w:spacing w:line="360" w:lineRule="auto"/>
        <w:jc w:val="both"/>
        <w:rPr>
          <w:rFonts w:ascii="Arial" w:eastAsia="Arial" w:hAnsi="Arial" w:cs="Arial"/>
          <w:b/>
          <w:sz w:val="24"/>
          <w:szCs w:val="24"/>
        </w:rPr>
      </w:pPr>
      <w:bookmarkStart w:id="8" w:name="_heading=h.rtufj85k759g" w:colFirst="0" w:colLast="0"/>
      <w:bookmarkEnd w:id="8"/>
      <w:r>
        <w:rPr>
          <w:rFonts w:ascii="Arial" w:eastAsia="Arial" w:hAnsi="Arial" w:cs="Arial"/>
          <w:b/>
          <w:sz w:val="24"/>
          <w:szCs w:val="24"/>
        </w:rPr>
        <w:t>O mapeamento do ecossistema de inovação na Região dos Vales</w:t>
      </w:r>
    </w:p>
    <w:p w14:paraId="0000001A" w14:textId="77777777" w:rsidR="001B2587" w:rsidRDefault="00076C66">
      <w:pPr>
        <w:spacing w:after="0" w:line="360" w:lineRule="auto"/>
        <w:ind w:firstLine="720"/>
        <w:jc w:val="both"/>
        <w:rPr>
          <w:rFonts w:ascii="Arial" w:eastAsia="Arial" w:hAnsi="Arial" w:cs="Arial"/>
          <w:color w:val="FF0000"/>
          <w:highlight w:val="white"/>
        </w:rPr>
      </w:pPr>
      <w:r>
        <w:rPr>
          <w:rFonts w:ascii="Arial" w:eastAsia="Arial" w:hAnsi="Arial" w:cs="Arial"/>
          <w:highlight w:val="white"/>
        </w:rPr>
        <w:t>A identificação dos ecossistemas e ambientes de inovação tem despertado a atenção de pesquisadores, empresários e profissionais, visto a importância e a influência dos ambientes de inovação frente</w:t>
      </w:r>
      <w:r>
        <w:rPr>
          <w:rFonts w:ascii="Arial" w:eastAsia="Arial" w:hAnsi="Arial" w:cs="Arial"/>
          <w:highlight w:val="white"/>
        </w:rPr>
        <w:t xml:space="preserve"> ao processo e na gestão da inovação (CAMPOS et al., 2015). O mapeamento do ecossistema de inovação é necessário para diagnosticar a realidade da região e gerar </w:t>
      </w:r>
      <w:r>
        <w:rPr>
          <w:rFonts w:ascii="Arial" w:eastAsia="Arial" w:hAnsi="Arial" w:cs="Arial"/>
          <w:i/>
          <w:highlight w:val="white"/>
        </w:rPr>
        <w:t>insights</w:t>
      </w:r>
      <w:r>
        <w:rPr>
          <w:rFonts w:ascii="Arial" w:eastAsia="Arial" w:hAnsi="Arial" w:cs="Arial"/>
          <w:highlight w:val="white"/>
        </w:rPr>
        <w:t xml:space="preserve"> que permitam a compreensão dos ativos locais e os desafios regionais para a construção</w:t>
      </w:r>
      <w:r>
        <w:rPr>
          <w:rFonts w:ascii="Arial" w:eastAsia="Arial" w:hAnsi="Arial" w:cs="Arial"/>
          <w:highlight w:val="white"/>
        </w:rPr>
        <w:t xml:space="preserve"> da visão de futuro da localidade.</w:t>
      </w:r>
    </w:p>
    <w:p w14:paraId="0000001B" w14:textId="77777777" w:rsidR="001B2587" w:rsidRDefault="00076C66">
      <w:pPr>
        <w:spacing w:after="0" w:line="360" w:lineRule="auto"/>
        <w:ind w:firstLine="720"/>
        <w:jc w:val="both"/>
        <w:rPr>
          <w:rFonts w:ascii="Arial" w:eastAsia="Arial" w:hAnsi="Arial" w:cs="Arial"/>
          <w:sz w:val="20"/>
          <w:szCs w:val="20"/>
          <w:highlight w:val="white"/>
        </w:rPr>
      </w:pPr>
      <w:r>
        <w:rPr>
          <w:rFonts w:ascii="Arial" w:eastAsia="Arial" w:hAnsi="Arial" w:cs="Arial"/>
          <w:highlight w:val="white"/>
        </w:rPr>
        <w:t>Conform</w:t>
      </w:r>
      <w:r>
        <w:rPr>
          <w:rFonts w:ascii="Arial" w:eastAsia="Arial" w:hAnsi="Arial" w:cs="Arial"/>
        </w:rPr>
        <w:t>e Observatório SICT (2019), a reg</w:t>
      </w:r>
      <w:r>
        <w:rPr>
          <w:rFonts w:ascii="Arial" w:eastAsia="Arial" w:hAnsi="Arial" w:cs="Arial"/>
          <w:highlight w:val="white"/>
        </w:rPr>
        <w:t>ião tem três Arranjos Produtivos Locais (APLs), sendo um no Vale do Taquari e dois no Vale do Rio Pardo. Também há ICTs constituídas e há Parques e Incubadoras nas duas maiores univ</w:t>
      </w:r>
      <w:r>
        <w:rPr>
          <w:rFonts w:ascii="Arial" w:eastAsia="Arial" w:hAnsi="Arial" w:cs="Arial"/>
          <w:highlight w:val="white"/>
        </w:rPr>
        <w:t>ersidades da região (Univates e UNISC), as quais possuem cada uma um parque e uma incubadora. As mesmas possuem os Núcleos de Inovação e Transferência Tecnológica - NITTs na região. Importante destacar ainda que há na Região dos Vales dois Polos de Moderni</w:t>
      </w:r>
      <w:r>
        <w:rPr>
          <w:rFonts w:ascii="Arial" w:eastAsia="Arial" w:hAnsi="Arial" w:cs="Arial"/>
          <w:highlight w:val="white"/>
        </w:rPr>
        <w:t>zação Tecnológica (PMT).</w:t>
      </w:r>
    </w:p>
    <w:p w14:paraId="0000001C" w14:textId="77777777" w:rsidR="001B2587" w:rsidRDefault="00076C66">
      <w:pPr>
        <w:spacing w:after="0" w:line="360" w:lineRule="auto"/>
        <w:ind w:firstLine="720"/>
        <w:jc w:val="both"/>
        <w:rPr>
          <w:rFonts w:ascii="Arial" w:eastAsia="Arial" w:hAnsi="Arial" w:cs="Arial"/>
        </w:rPr>
      </w:pPr>
      <w:r>
        <w:rPr>
          <w:rFonts w:ascii="Arial" w:eastAsia="Arial" w:hAnsi="Arial" w:cs="Arial"/>
        </w:rPr>
        <w:t>De acordo com o Censo 2010, do IBGE, o percentual da população com nível superior é de 4,95%, considerando os 59 municípios da Região dos Vales. Em se tratando da dimensão dos talentos e do conhecimento existentes na Região dos Val</w:t>
      </w:r>
      <w:r>
        <w:rPr>
          <w:rFonts w:ascii="Arial" w:eastAsia="Arial" w:hAnsi="Arial" w:cs="Arial"/>
        </w:rPr>
        <w:t>es, esse indicador é importante.</w:t>
      </w:r>
    </w:p>
    <w:p w14:paraId="0000001D" w14:textId="77777777" w:rsidR="001B2587" w:rsidRDefault="00076C66">
      <w:pPr>
        <w:spacing w:after="0" w:line="360" w:lineRule="auto"/>
        <w:ind w:firstLine="720"/>
        <w:jc w:val="both"/>
        <w:rPr>
          <w:rFonts w:ascii="Arial" w:eastAsia="Arial" w:hAnsi="Arial" w:cs="Arial"/>
        </w:rPr>
      </w:pPr>
      <w:r>
        <w:rPr>
          <w:rFonts w:ascii="Arial" w:eastAsia="Arial" w:hAnsi="Arial" w:cs="Arial"/>
        </w:rPr>
        <w:t>Quanto às Instituições de ensino superior, cabe destacar que na Região dos Vales existem três Universidades que atuam presencialmente, quais sejam Universidade de Santa Cruz do Sul (UNISC), Universidade do Vale do Taquari (</w:t>
      </w:r>
      <w:r>
        <w:rPr>
          <w:rFonts w:ascii="Arial" w:eastAsia="Arial" w:hAnsi="Arial" w:cs="Arial"/>
        </w:rPr>
        <w:t>UNIVATES) e Universidade Estadual do Rio Grande do Sul (UERGS). Há também outras instituições que atuam somente no formato EAD, por exemplo, Uninter, Unopar, entre outras. Ainda, na perspectiva de formação de talentos, na região existem 15 Programas de Pós</w:t>
      </w:r>
      <w:r>
        <w:rPr>
          <w:rFonts w:ascii="Arial" w:eastAsia="Arial" w:hAnsi="Arial" w:cs="Arial"/>
        </w:rPr>
        <w:t xml:space="preserve">-Graduação Stricto Sensu, sendo 9 deles na UNISC e 6 na UNIVATES. Essas universidades têm estimulado para que haja o depósito </w:t>
      </w:r>
      <w:r>
        <w:rPr>
          <w:rFonts w:ascii="Arial" w:eastAsia="Arial" w:hAnsi="Arial" w:cs="Arial"/>
        </w:rPr>
        <w:lastRenderedPageBreak/>
        <w:t>de pedidos de patentes, sendo que em 2019, o número total de pedidos de patentes depositadas no INPI eram de 39 (Propriedade Intel</w:t>
      </w:r>
      <w:r>
        <w:rPr>
          <w:rFonts w:ascii="Arial" w:eastAsia="Arial" w:hAnsi="Arial" w:cs="Arial"/>
        </w:rPr>
        <w:t>ectual e Modelo de Utilidade).</w:t>
      </w:r>
    </w:p>
    <w:p w14:paraId="0000001E" w14:textId="77777777" w:rsidR="001B2587" w:rsidRDefault="00076C66">
      <w:pPr>
        <w:spacing w:after="0" w:line="360" w:lineRule="auto"/>
        <w:ind w:firstLine="720"/>
        <w:jc w:val="both"/>
        <w:rPr>
          <w:rFonts w:ascii="Arial" w:eastAsia="Arial" w:hAnsi="Arial" w:cs="Arial"/>
        </w:rPr>
      </w:pPr>
      <w:sdt>
        <w:sdtPr>
          <w:tag w:val="goog_rdk_0"/>
          <w:id w:val="2067368508"/>
        </w:sdtPr>
        <w:sdtEndPr/>
        <w:sdtContent/>
      </w:sdt>
      <w:r>
        <w:rPr>
          <w:rFonts w:ascii="Arial" w:eastAsia="Arial" w:hAnsi="Arial" w:cs="Arial"/>
        </w:rPr>
        <w:t>Quanto</w:t>
      </w:r>
      <w:r>
        <w:rPr>
          <w:rFonts w:ascii="Arial" w:eastAsia="Arial" w:hAnsi="Arial" w:cs="Arial"/>
        </w:rPr>
        <w:t xml:space="preserve"> à dimensão do Capital Financeiro, no que tange a investimentos dos municípios da região em Ciência e Tecnologia, foi identificado no município de Lajeado recursos no Fundo de Inovação, no ano de 2020, com um montante de R$ 500.000,00. Em virtude da pandem</w:t>
      </w:r>
      <w:r>
        <w:rPr>
          <w:rFonts w:ascii="Arial" w:eastAsia="Arial" w:hAnsi="Arial" w:cs="Arial"/>
        </w:rPr>
        <w:t>ia causada pelo Coronavírus, o município de Santa Cruz do Sul lançou um programa de crédito voltado aos empreendedores locais por meio do Banco do Povo, no valor previsto de, aproximadamente, R$ 2.000.000,00.</w:t>
      </w:r>
    </w:p>
    <w:p w14:paraId="0000001F" w14:textId="77777777" w:rsidR="001B2587" w:rsidRDefault="00076C66">
      <w:pPr>
        <w:spacing w:after="0" w:line="360" w:lineRule="auto"/>
        <w:ind w:firstLine="720"/>
        <w:jc w:val="both"/>
        <w:rPr>
          <w:rFonts w:ascii="Arial" w:eastAsia="Arial" w:hAnsi="Arial" w:cs="Arial"/>
        </w:rPr>
      </w:pPr>
      <w:r>
        <w:rPr>
          <w:rFonts w:ascii="Arial" w:eastAsia="Arial" w:hAnsi="Arial" w:cs="Arial"/>
        </w:rPr>
        <w:t>Além disso, foram identificadas startups pela A</w:t>
      </w:r>
      <w:r>
        <w:rPr>
          <w:rFonts w:ascii="Arial" w:eastAsia="Arial" w:hAnsi="Arial" w:cs="Arial"/>
        </w:rPr>
        <w:t>ssociação Brasileira de Startups (2017), sendo nove negócios com essas características.</w:t>
      </w:r>
      <w:r>
        <w:rPr>
          <w:rFonts w:ascii="Arial" w:eastAsia="Arial" w:hAnsi="Arial" w:cs="Arial"/>
          <w:color w:val="FF0000"/>
        </w:rPr>
        <w:t xml:space="preserve"> </w:t>
      </w:r>
      <w:r>
        <w:rPr>
          <w:rFonts w:ascii="Arial" w:eastAsia="Arial" w:hAnsi="Arial" w:cs="Arial"/>
        </w:rPr>
        <w:t>No entanto, conforme os resultados obtidos neste estudo, houve a citação de outros negócios com características de startups. Tratando-se de startups aceleradas ou em pr</w:t>
      </w:r>
      <w:r>
        <w:rPr>
          <w:rFonts w:ascii="Arial" w:eastAsia="Arial" w:hAnsi="Arial" w:cs="Arial"/>
        </w:rPr>
        <w:t>ocesso de aceleração obteve-se o conhecimento de duas no Vale do Taquari e duas no Vale do Rio Pardo.</w:t>
      </w:r>
    </w:p>
    <w:p w14:paraId="00000020" w14:textId="77777777" w:rsidR="001B2587" w:rsidRDefault="00076C66">
      <w:pPr>
        <w:spacing w:after="0" w:line="360" w:lineRule="auto"/>
        <w:ind w:firstLine="720"/>
        <w:jc w:val="both"/>
        <w:rPr>
          <w:rFonts w:ascii="Arial" w:eastAsia="Arial" w:hAnsi="Arial" w:cs="Arial"/>
        </w:rPr>
      </w:pPr>
      <w:r>
        <w:rPr>
          <w:rFonts w:ascii="Arial" w:eastAsia="Arial" w:hAnsi="Arial" w:cs="Arial"/>
        </w:rPr>
        <w:t>Quando ao tema da aceleração de negócios, observou-se que não havia aceleradora específica no território, no entanto, havia uma iniciativa em curso para f</w:t>
      </w:r>
      <w:r>
        <w:rPr>
          <w:rFonts w:ascii="Arial" w:eastAsia="Arial" w:hAnsi="Arial" w:cs="Arial"/>
        </w:rPr>
        <w:t>ormação de uma aceleradora com 100 investidores iniciais, com cota de participação de R$ 50.000,00 para cada investidor.</w:t>
      </w:r>
    </w:p>
    <w:p w14:paraId="00000021" w14:textId="77777777" w:rsidR="001B2587" w:rsidRDefault="00076C66">
      <w:pPr>
        <w:spacing w:after="0" w:line="360" w:lineRule="auto"/>
        <w:ind w:firstLine="720"/>
        <w:jc w:val="both"/>
        <w:rPr>
          <w:rFonts w:ascii="Arial" w:eastAsia="Arial" w:hAnsi="Arial" w:cs="Arial"/>
        </w:rPr>
      </w:pPr>
      <w:r>
        <w:rPr>
          <w:rFonts w:ascii="Arial" w:eastAsia="Arial" w:hAnsi="Arial" w:cs="Arial"/>
        </w:rPr>
        <w:t>Por fim, são quase inexistentes os bancos que atuam especificamente com créditos para investimentos em inovação na Região dos Vales. Po</w:t>
      </w:r>
      <w:r>
        <w:rPr>
          <w:rFonts w:ascii="Arial" w:eastAsia="Arial" w:hAnsi="Arial" w:cs="Arial"/>
        </w:rPr>
        <w:t>rém, observa-se que há programas e financiamentos nos bancos instalados em todo o território gaúcho.</w:t>
      </w:r>
    </w:p>
    <w:p w14:paraId="00000022" w14:textId="77777777" w:rsidR="001B2587" w:rsidRDefault="00076C66">
      <w:pPr>
        <w:spacing w:after="0" w:line="360" w:lineRule="auto"/>
        <w:ind w:firstLine="720"/>
        <w:jc w:val="both"/>
        <w:rPr>
          <w:rFonts w:ascii="Arial" w:eastAsia="Arial" w:hAnsi="Arial" w:cs="Arial"/>
        </w:rPr>
      </w:pPr>
      <w:r>
        <w:rPr>
          <w:rFonts w:ascii="Arial" w:eastAsia="Arial" w:hAnsi="Arial" w:cs="Arial"/>
        </w:rPr>
        <w:t xml:space="preserve">O tema da inovação e empreendedorismo são dimensões que, para além de contribuir com o crescimento econômico de um território, precisam estar associadas à </w:t>
      </w:r>
      <w:r>
        <w:rPr>
          <w:rFonts w:ascii="Arial" w:eastAsia="Arial" w:hAnsi="Arial" w:cs="Arial"/>
        </w:rPr>
        <w:t>qualidade de vida da sociedade que vive na região, pois observa-se que o Índice de Desenvolvimento Humano - IDHM, que avalia a qualidade de vida e o desenvolvimento econômico de uma população, resulta em uma média regional de 0,71 para os 59 municípios.</w:t>
      </w:r>
    </w:p>
    <w:p w14:paraId="00000023" w14:textId="77777777" w:rsidR="001B2587" w:rsidRDefault="00076C66">
      <w:pPr>
        <w:spacing w:after="0" w:line="360" w:lineRule="auto"/>
        <w:ind w:firstLine="720"/>
        <w:jc w:val="both"/>
        <w:rPr>
          <w:rFonts w:ascii="Arial" w:eastAsia="Arial" w:hAnsi="Arial" w:cs="Arial"/>
          <w:color w:val="FF0000"/>
        </w:rPr>
      </w:pPr>
      <w:r>
        <w:rPr>
          <w:rFonts w:ascii="Arial" w:eastAsia="Arial" w:hAnsi="Arial" w:cs="Arial"/>
        </w:rPr>
        <w:t xml:space="preserve"> </w:t>
      </w:r>
    </w:p>
    <w:p w14:paraId="00000024" w14:textId="77777777" w:rsidR="001B2587" w:rsidRDefault="00076C66">
      <w:pPr>
        <w:numPr>
          <w:ilvl w:val="0"/>
          <w:numId w:val="3"/>
        </w:numPr>
        <w:spacing w:line="360" w:lineRule="auto"/>
        <w:jc w:val="both"/>
        <w:rPr>
          <w:rFonts w:ascii="Arial" w:eastAsia="Arial" w:hAnsi="Arial" w:cs="Arial"/>
          <w:b/>
          <w:sz w:val="24"/>
          <w:szCs w:val="24"/>
        </w:rPr>
      </w:pPr>
      <w:bookmarkStart w:id="9" w:name="_heading=h.iz72rniijret" w:colFirst="0" w:colLast="0"/>
      <w:bookmarkEnd w:id="9"/>
      <w:r>
        <w:rPr>
          <w:rFonts w:ascii="Arial" w:eastAsia="Arial" w:hAnsi="Arial" w:cs="Arial"/>
          <w:b/>
          <w:sz w:val="24"/>
          <w:szCs w:val="24"/>
        </w:rPr>
        <w:t>Metodologia</w:t>
      </w:r>
    </w:p>
    <w:p w14:paraId="00000025" w14:textId="77777777" w:rsidR="001B2587" w:rsidRDefault="00076C66">
      <w:pPr>
        <w:spacing w:after="0" w:line="360" w:lineRule="auto"/>
        <w:ind w:firstLine="357"/>
        <w:jc w:val="both"/>
        <w:rPr>
          <w:rFonts w:ascii="Arial" w:eastAsia="Arial" w:hAnsi="Arial" w:cs="Arial"/>
        </w:rPr>
      </w:pPr>
      <w:r>
        <w:rPr>
          <w:rFonts w:ascii="Arial" w:eastAsia="Arial" w:hAnsi="Arial" w:cs="Arial"/>
        </w:rPr>
        <w:t>Para atingir o objetivo do estudo, que teve uma abordagem quantitativa de caráter exploratório-descritivo, foi utilizada uma amostragem não-probabilística por julgamento, visto que é delimitada a pesquisa para os municípios que fazem parte da R</w:t>
      </w:r>
      <w:r>
        <w:rPr>
          <w:rFonts w:ascii="Arial" w:eastAsia="Arial" w:hAnsi="Arial" w:cs="Arial"/>
        </w:rPr>
        <w:t>egião dos Vales - RS. Desta forma, o mapeamento da Região dos Vales envolveu os 59 municípios, cujo direcionamento para responder às questões foi às Secretarias Municipais de Desenvolvimento Econômico, de Planejamento e/ou Administração. Fazem parte da reg</w:t>
      </w:r>
      <w:r>
        <w:rPr>
          <w:rFonts w:ascii="Arial" w:eastAsia="Arial" w:hAnsi="Arial" w:cs="Arial"/>
        </w:rPr>
        <w:t>ião dos Vales os municípios de: Anta Gorda, Arroio do Meio, Arvorezinha, Bom Retiro do Sul, Canudos do Vale, Capitão, Colinas, Coqueiro Baixo, Cruzeiro do Sul, Dois Lajeados, Doutor Ricardo, Encantado, Estrela, Fazenda Vilanova, Forquetinha, Ilópolis, Imig</w:t>
      </w:r>
      <w:r>
        <w:rPr>
          <w:rFonts w:ascii="Arial" w:eastAsia="Arial" w:hAnsi="Arial" w:cs="Arial"/>
        </w:rPr>
        <w:t xml:space="preserve">rante, Lajeado, Marques de Souza, </w:t>
      </w:r>
      <w:r>
        <w:rPr>
          <w:rFonts w:ascii="Arial" w:eastAsia="Arial" w:hAnsi="Arial" w:cs="Arial"/>
        </w:rPr>
        <w:lastRenderedPageBreak/>
        <w:t>Muçum, Nova Bréscia, Paverama, Poço das Antas, Pouso Novo, Progresso, Putinga, Relvado, Roca Sales, Santa Clara do Sul, Sério, Tabaí, Taquari, Teutônia, Travesseiro, Vespasiano Corrêa, Westfália. Do Corede Vale do Rio Pard</w:t>
      </w:r>
      <w:r>
        <w:rPr>
          <w:rFonts w:ascii="Arial" w:eastAsia="Arial" w:hAnsi="Arial" w:cs="Arial"/>
        </w:rPr>
        <w:t>o, fazem parte os municípios de: Arroio do Tigre, Barros Cassal, Boqueirão do Leão, Candelária, Encruzilhada do Sul, Estrela Velha, General Câmara, Herveiras, Ibarama, Mato Leitão, Pantano Grande, Passa Sete, Passo do Sobrado, Rio Pardo, Santa Cruz do Sul,</w:t>
      </w:r>
      <w:r>
        <w:rPr>
          <w:rFonts w:ascii="Arial" w:eastAsia="Arial" w:hAnsi="Arial" w:cs="Arial"/>
        </w:rPr>
        <w:t xml:space="preserve"> Segredo, Sinimbu, Sobradinho, Tunas, Vale do Sol, Vale Verde, Venâncio Aires e Vera Cruz. As cidades polo da Região dos Vales são Lajeado, no Vale do Taquari e Santa Cruz do Sul, no Vale do Rio Pardo.</w:t>
      </w:r>
    </w:p>
    <w:p w14:paraId="00000026" w14:textId="77777777" w:rsidR="001B2587" w:rsidRDefault="00076C66">
      <w:pPr>
        <w:spacing w:after="0" w:line="360" w:lineRule="auto"/>
        <w:ind w:firstLine="357"/>
        <w:jc w:val="both"/>
        <w:rPr>
          <w:rFonts w:ascii="Arial" w:eastAsia="Arial" w:hAnsi="Arial" w:cs="Arial"/>
        </w:rPr>
      </w:pPr>
      <w:r>
        <w:rPr>
          <w:rFonts w:ascii="Arial" w:eastAsia="Arial" w:hAnsi="Arial" w:cs="Arial"/>
        </w:rPr>
        <w:t xml:space="preserve">As questões previstas no mapeamento foram organizadas </w:t>
      </w:r>
      <w:r>
        <w:rPr>
          <w:rFonts w:ascii="Arial" w:eastAsia="Arial" w:hAnsi="Arial" w:cs="Arial"/>
        </w:rPr>
        <w:t>em dezembro de 2019 e janeiro de 2020. Em fevereiro de 2020, foi realizado um pré-teste com alguns municípios, realizando-se ajustes às perguntas e formatação da versão final da pesquisa. Desta forma, houve a aplicação do questionário, utilizando a ferrame</w:t>
      </w:r>
      <w:r>
        <w:rPr>
          <w:rFonts w:ascii="Arial" w:eastAsia="Arial" w:hAnsi="Arial" w:cs="Arial"/>
        </w:rPr>
        <w:t>nta Google Forms para envio da mesma, assim como, para tabulação dos dados.</w:t>
      </w:r>
    </w:p>
    <w:p w14:paraId="00000027" w14:textId="77777777" w:rsidR="001B2587" w:rsidRDefault="00076C66">
      <w:pPr>
        <w:spacing w:after="0" w:line="360" w:lineRule="auto"/>
        <w:ind w:firstLine="357"/>
        <w:jc w:val="both"/>
        <w:rPr>
          <w:rFonts w:ascii="Arial" w:eastAsia="Arial" w:hAnsi="Arial" w:cs="Arial"/>
        </w:rPr>
      </w:pPr>
      <w:r>
        <w:rPr>
          <w:rFonts w:ascii="Arial" w:eastAsia="Arial" w:hAnsi="Arial" w:cs="Arial"/>
        </w:rPr>
        <w:t>Para análise dos dados, utilizou-se de planilha eletrônica Excel™, que pudesse traduzir as respostas em alguns dados estatísticos, como, moda, média, frequência absoluta. Para anál</w:t>
      </w:r>
      <w:r>
        <w:rPr>
          <w:rFonts w:ascii="Arial" w:eastAsia="Arial" w:hAnsi="Arial" w:cs="Arial"/>
        </w:rPr>
        <w:t xml:space="preserve">ise de dados qualitativos, utilizou-se de </w:t>
      </w:r>
      <w:r>
        <w:rPr>
          <w:rFonts w:ascii="Arial" w:eastAsia="Arial" w:hAnsi="Arial" w:cs="Arial"/>
          <w:i/>
        </w:rPr>
        <w:t>softwares</w:t>
      </w:r>
      <w:r>
        <w:rPr>
          <w:rFonts w:ascii="Arial" w:eastAsia="Arial" w:hAnsi="Arial" w:cs="Arial"/>
        </w:rPr>
        <w:t xml:space="preserve"> específicos que auxiliem na elaboração de nuvem de palavras, como WordArt.com.</w:t>
      </w:r>
    </w:p>
    <w:p w14:paraId="00000028" w14:textId="77777777" w:rsidR="001B2587" w:rsidRDefault="001B2587">
      <w:pPr>
        <w:spacing w:after="0" w:line="360" w:lineRule="auto"/>
        <w:ind w:firstLine="357"/>
        <w:jc w:val="both"/>
        <w:rPr>
          <w:rFonts w:ascii="Arial" w:eastAsia="Arial" w:hAnsi="Arial" w:cs="Arial"/>
        </w:rPr>
      </w:pPr>
    </w:p>
    <w:p w14:paraId="00000029" w14:textId="77777777" w:rsidR="001B2587" w:rsidRDefault="00076C66">
      <w:pPr>
        <w:numPr>
          <w:ilvl w:val="0"/>
          <w:numId w:val="3"/>
        </w:numPr>
        <w:spacing w:line="360" w:lineRule="auto"/>
        <w:jc w:val="both"/>
        <w:rPr>
          <w:rFonts w:ascii="Arial" w:eastAsia="Arial" w:hAnsi="Arial" w:cs="Arial"/>
          <w:b/>
          <w:sz w:val="24"/>
          <w:szCs w:val="24"/>
        </w:rPr>
      </w:pPr>
      <w:bookmarkStart w:id="10" w:name="_heading=h.m8ut64wdq63u" w:colFirst="0" w:colLast="0"/>
      <w:bookmarkEnd w:id="10"/>
      <w:r>
        <w:rPr>
          <w:rFonts w:ascii="Arial" w:eastAsia="Arial" w:hAnsi="Arial" w:cs="Arial"/>
          <w:b/>
          <w:sz w:val="24"/>
          <w:szCs w:val="24"/>
        </w:rPr>
        <w:t>Apresentação, Análise e Discussão dos Resultados</w:t>
      </w:r>
    </w:p>
    <w:p w14:paraId="0000002A" w14:textId="77777777" w:rsidR="001B2587" w:rsidRDefault="00076C66">
      <w:pPr>
        <w:spacing w:after="0" w:line="360" w:lineRule="auto"/>
        <w:ind w:firstLine="720"/>
        <w:jc w:val="both"/>
        <w:rPr>
          <w:rFonts w:ascii="Arial" w:eastAsia="Arial" w:hAnsi="Arial" w:cs="Arial"/>
        </w:rPr>
      </w:pPr>
      <w:bookmarkStart w:id="11" w:name="_heading=h.65g6nle5h3f4" w:colFirst="0" w:colLast="0"/>
      <w:bookmarkEnd w:id="11"/>
      <w:r>
        <w:rPr>
          <w:rFonts w:ascii="Arial" w:eastAsia="Arial" w:hAnsi="Arial" w:cs="Arial"/>
        </w:rPr>
        <w:t>Esta seção trata da apresentação, análise e discussão dos resultados do art</w:t>
      </w:r>
      <w:r>
        <w:rPr>
          <w:rFonts w:ascii="Arial" w:eastAsia="Arial" w:hAnsi="Arial" w:cs="Arial"/>
        </w:rPr>
        <w:t>igo a fim de atender os objetivos geral e específicos do mesmo, por meio da metodologia adotada, com dados obtidos a partir da pesquisa aplicada aos 59 municípios.</w:t>
      </w:r>
    </w:p>
    <w:p w14:paraId="0000002B" w14:textId="77777777" w:rsidR="001B2587" w:rsidRDefault="001B2587">
      <w:pPr>
        <w:spacing w:after="0" w:line="360" w:lineRule="auto"/>
        <w:ind w:firstLine="720"/>
        <w:jc w:val="both"/>
        <w:rPr>
          <w:rFonts w:ascii="Arial" w:eastAsia="Arial" w:hAnsi="Arial" w:cs="Arial"/>
        </w:rPr>
      </w:pPr>
    </w:p>
    <w:p w14:paraId="0000002C" w14:textId="77777777" w:rsidR="001B2587" w:rsidRDefault="00076C66">
      <w:pPr>
        <w:spacing w:line="360" w:lineRule="auto"/>
        <w:jc w:val="both"/>
        <w:rPr>
          <w:rFonts w:ascii="Arial" w:eastAsia="Arial" w:hAnsi="Arial" w:cs="Arial"/>
          <w:b/>
          <w:i/>
          <w:sz w:val="24"/>
          <w:szCs w:val="24"/>
        </w:rPr>
      </w:pPr>
      <w:r>
        <w:rPr>
          <w:rFonts w:ascii="Arial" w:eastAsia="Arial" w:hAnsi="Arial" w:cs="Arial"/>
          <w:b/>
          <w:i/>
          <w:sz w:val="24"/>
          <w:szCs w:val="24"/>
        </w:rPr>
        <w:t>4.1 Características dos Municípios do Ecossistema da Região dos Vales - RS</w:t>
      </w:r>
    </w:p>
    <w:p w14:paraId="0000002D" w14:textId="77777777" w:rsidR="001B2587" w:rsidRDefault="00076C66">
      <w:pPr>
        <w:spacing w:after="0" w:line="360" w:lineRule="auto"/>
        <w:ind w:firstLine="720"/>
        <w:jc w:val="both"/>
        <w:rPr>
          <w:rFonts w:ascii="Arial" w:eastAsia="Arial" w:hAnsi="Arial" w:cs="Arial"/>
        </w:rPr>
      </w:pPr>
      <w:r>
        <w:rPr>
          <w:rFonts w:ascii="Arial" w:eastAsia="Arial" w:hAnsi="Arial" w:cs="Arial"/>
        </w:rPr>
        <w:t>Conforme o Idese (2016), os Vales do Rio Pardo e Taquari possuem o Idese médio, sendo 0,745 no Vale do Rio Pardo e no Vale do Taquari de 0,783. O RS encontra-se na faixa de médio desenvolvimento, com IDESE no valor de 0,754.</w:t>
      </w:r>
      <w:r>
        <w:rPr>
          <w:rFonts w:ascii="Arial" w:eastAsia="Arial" w:hAnsi="Arial" w:cs="Arial"/>
          <w:sz w:val="24"/>
          <w:szCs w:val="24"/>
        </w:rPr>
        <w:t xml:space="preserve"> </w:t>
      </w:r>
      <w:r>
        <w:rPr>
          <w:rFonts w:ascii="Arial" w:eastAsia="Arial" w:hAnsi="Arial" w:cs="Arial"/>
        </w:rPr>
        <w:t>Esses municípios possuem um sistema de organização associativa consolidado, que envolve associações como o Corede Vale do Rio Pardo (COREDE-VRP) e Vale do Taquari (CODEVAT), Associação dos Municípios do Vale do Rio Pardo - AMVARP e Associação dos Município</w:t>
      </w:r>
      <w:r>
        <w:rPr>
          <w:rFonts w:ascii="Arial" w:eastAsia="Arial" w:hAnsi="Arial" w:cs="Arial"/>
        </w:rPr>
        <w:t xml:space="preserve">s do Vale do Taquari - AMVAT, que articulam ações com o intuito de solucionar problemas em comum aos municípios. </w:t>
      </w:r>
    </w:p>
    <w:p w14:paraId="0000002E" w14:textId="77777777" w:rsidR="001B2587" w:rsidRDefault="00076C66">
      <w:pPr>
        <w:spacing w:after="0" w:line="360" w:lineRule="auto"/>
        <w:ind w:firstLine="720"/>
        <w:jc w:val="both"/>
        <w:rPr>
          <w:rFonts w:ascii="Arial" w:eastAsia="Arial" w:hAnsi="Arial" w:cs="Arial"/>
        </w:rPr>
      </w:pPr>
      <w:r>
        <w:rPr>
          <w:rFonts w:ascii="Arial" w:eastAsia="Arial" w:hAnsi="Arial" w:cs="Arial"/>
        </w:rPr>
        <w:t>Além destas, entidades setoriais e locais, de empreendedores industriais, dos serviços, comércio e agronegócios, dos trabalhadores dos diferen</w:t>
      </w:r>
      <w:r>
        <w:rPr>
          <w:rFonts w:ascii="Arial" w:eastAsia="Arial" w:hAnsi="Arial" w:cs="Arial"/>
        </w:rPr>
        <w:t xml:space="preserve">tes setores, de clubes de serviços e associações temáticas, que, articuladas com os demais atores regionais, constituem instâncias associativas e colaborativas que atuam em prol do desenvolvimento </w:t>
      </w:r>
      <w:r>
        <w:rPr>
          <w:rFonts w:ascii="Arial" w:eastAsia="Arial" w:hAnsi="Arial" w:cs="Arial"/>
        </w:rPr>
        <w:lastRenderedPageBreak/>
        <w:t>das regiões. A Região dos Vales, em seus planejamentos estr</w:t>
      </w:r>
      <w:r>
        <w:rPr>
          <w:rFonts w:ascii="Arial" w:eastAsia="Arial" w:hAnsi="Arial" w:cs="Arial"/>
        </w:rPr>
        <w:t>atégicos 2015-2030, possui diretrizes estratégicas que são vinculadas e prioritárias nas duas regiões que a compõem, Vale do Rio Pardo e Vale do Taquari.</w:t>
      </w:r>
    </w:p>
    <w:p w14:paraId="0000002F" w14:textId="77777777" w:rsidR="001B2587" w:rsidRDefault="00076C66">
      <w:pPr>
        <w:spacing w:after="0" w:line="360" w:lineRule="auto"/>
        <w:ind w:firstLine="720"/>
        <w:jc w:val="both"/>
        <w:rPr>
          <w:rFonts w:ascii="Arial" w:eastAsia="Arial" w:hAnsi="Arial" w:cs="Arial"/>
        </w:rPr>
      </w:pPr>
      <w:r>
        <w:rPr>
          <w:rFonts w:ascii="Arial" w:eastAsia="Arial" w:hAnsi="Arial" w:cs="Arial"/>
        </w:rPr>
        <w:t xml:space="preserve">As diretrizes são as que seguem: a) Fortalecimento da Segurança Pública; </w:t>
      </w:r>
      <w:r>
        <w:rPr>
          <w:rFonts w:ascii="Arial" w:eastAsia="Arial" w:hAnsi="Arial" w:cs="Arial"/>
          <w:b/>
        </w:rPr>
        <w:t>b) Desenvolvimento e inovação</w:t>
      </w:r>
      <w:r>
        <w:rPr>
          <w:rFonts w:ascii="Arial" w:eastAsia="Arial" w:hAnsi="Arial" w:cs="Arial"/>
          <w:b/>
        </w:rPr>
        <w:t xml:space="preserve"> tecnológica;</w:t>
      </w:r>
      <w:r>
        <w:rPr>
          <w:rFonts w:ascii="Arial" w:eastAsia="Arial" w:hAnsi="Arial" w:cs="Arial"/>
        </w:rPr>
        <w:t xml:space="preserve"> c) Promoção da qualificação profissional e cidadã por meio da educação formal, não formal e profissionalizante, vinculadas aos valores regionais; d) Fortalecimento dos Arranjos Produtivos Locais (APLs); e) Ampliação e qualificação do Saneamen</w:t>
      </w:r>
      <w:r>
        <w:rPr>
          <w:rFonts w:ascii="Arial" w:eastAsia="Arial" w:hAnsi="Arial" w:cs="Arial"/>
        </w:rPr>
        <w:t>to Regional: Abastecimento de água,  Esgotamento sanitário, Drenagem urbana e Tratamento de resíduos (urbanos, rurais e industriais); f) Incentivo à produção de energias renováveis e alternativas; g) Qualificação e desenvolvimento do turismo regional; h) Q</w:t>
      </w:r>
      <w:r>
        <w:rPr>
          <w:rFonts w:ascii="Arial" w:eastAsia="Arial" w:hAnsi="Arial" w:cs="Arial"/>
        </w:rPr>
        <w:t>ualificação da tecnologia da informação (fixa, móvel, internet); i) Pavimentação asfáltica de acessos municipais; e, j) Fortalecimento da Saúde Pública.</w:t>
      </w:r>
    </w:p>
    <w:p w14:paraId="00000030" w14:textId="77777777" w:rsidR="001B2587" w:rsidRDefault="00076C66">
      <w:pPr>
        <w:spacing w:after="0" w:line="360" w:lineRule="auto"/>
        <w:ind w:firstLine="720"/>
        <w:jc w:val="both"/>
        <w:rPr>
          <w:rFonts w:ascii="Arial" w:eastAsia="Arial" w:hAnsi="Arial" w:cs="Arial"/>
        </w:rPr>
      </w:pPr>
      <w:r>
        <w:rPr>
          <w:rFonts w:ascii="Arial" w:eastAsia="Arial" w:hAnsi="Arial" w:cs="Arial"/>
        </w:rPr>
        <w:t>Observa-se que, dentre as prioridades regionais, destaca-se a inovação e o empreendedorismo que tangenc</w:t>
      </w:r>
      <w:r>
        <w:rPr>
          <w:rFonts w:ascii="Arial" w:eastAsia="Arial" w:hAnsi="Arial" w:cs="Arial"/>
        </w:rPr>
        <w:t>ia diversas diretrizes, inclusive voltada à inovação tecnológica. Portanto, a Região dos Vales indica em suas diversas instâncias seus objetivos voltados ao referido tema e constituem grupos e atores para qualificar o empreendedorismo e a inovação.</w:t>
      </w:r>
    </w:p>
    <w:p w14:paraId="00000031" w14:textId="77777777" w:rsidR="001B2587" w:rsidRDefault="001B2587">
      <w:pPr>
        <w:spacing w:after="0" w:line="360" w:lineRule="auto"/>
        <w:ind w:firstLine="720"/>
        <w:jc w:val="both"/>
        <w:rPr>
          <w:rFonts w:ascii="Arial" w:eastAsia="Arial" w:hAnsi="Arial" w:cs="Arial"/>
          <w:sz w:val="24"/>
          <w:szCs w:val="24"/>
        </w:rPr>
      </w:pPr>
    </w:p>
    <w:p w14:paraId="00000032" w14:textId="77777777" w:rsidR="001B2587" w:rsidRDefault="00076C66">
      <w:pPr>
        <w:spacing w:line="360" w:lineRule="auto"/>
        <w:jc w:val="both"/>
        <w:rPr>
          <w:rFonts w:ascii="Arial" w:eastAsia="Arial" w:hAnsi="Arial" w:cs="Arial"/>
          <w:b/>
          <w:i/>
          <w:sz w:val="24"/>
          <w:szCs w:val="24"/>
        </w:rPr>
      </w:pPr>
      <w:bookmarkStart w:id="12" w:name="_heading=h.j6xls7we0p46" w:colFirst="0" w:colLast="0"/>
      <w:bookmarkEnd w:id="12"/>
      <w:r>
        <w:rPr>
          <w:rFonts w:ascii="Arial" w:eastAsia="Arial" w:hAnsi="Arial" w:cs="Arial"/>
          <w:b/>
          <w:i/>
          <w:sz w:val="24"/>
          <w:szCs w:val="24"/>
        </w:rPr>
        <w:t>4.2 Pr</w:t>
      </w:r>
      <w:r>
        <w:rPr>
          <w:rFonts w:ascii="Arial" w:eastAsia="Arial" w:hAnsi="Arial" w:cs="Arial"/>
          <w:b/>
          <w:i/>
          <w:sz w:val="24"/>
          <w:szCs w:val="24"/>
        </w:rPr>
        <w:t>incipais insights do Mapeamento do Ecossistema Regional de Inovação da Região dos Vales - RS</w:t>
      </w:r>
    </w:p>
    <w:p w14:paraId="00000033" w14:textId="77777777" w:rsidR="001B2587" w:rsidRDefault="00076C66">
      <w:pPr>
        <w:spacing w:after="0" w:line="360" w:lineRule="auto"/>
        <w:ind w:firstLine="720"/>
        <w:jc w:val="both"/>
        <w:rPr>
          <w:rFonts w:ascii="Arial" w:eastAsia="Arial" w:hAnsi="Arial" w:cs="Arial"/>
        </w:rPr>
      </w:pPr>
      <w:r>
        <w:rPr>
          <w:rFonts w:ascii="Arial" w:eastAsia="Arial" w:hAnsi="Arial" w:cs="Arial"/>
        </w:rPr>
        <w:t>O questionário foi respondido por 62 respondentes de 40 municípios, totalizando 67,8% dos municípios da Região dos Vales. A Região dos Vales é composta por 59 muni</w:t>
      </w:r>
      <w:r>
        <w:rPr>
          <w:rFonts w:ascii="Arial" w:eastAsia="Arial" w:hAnsi="Arial" w:cs="Arial"/>
        </w:rPr>
        <w:t>cípios, sendo 36 deles localizados no Vale do Taquari e 23 no Vale do Rio Pardo. Na Tabela 1, é possível observar os municípios respondentes do estudo.</w:t>
      </w:r>
    </w:p>
    <w:p w14:paraId="00000034" w14:textId="77777777" w:rsidR="001B2587" w:rsidRDefault="001B2587">
      <w:pPr>
        <w:spacing w:after="0" w:line="360" w:lineRule="auto"/>
        <w:ind w:firstLine="720"/>
        <w:jc w:val="both"/>
        <w:rPr>
          <w:rFonts w:ascii="Arial" w:eastAsia="Arial" w:hAnsi="Arial" w:cs="Arial"/>
        </w:rPr>
      </w:pPr>
    </w:p>
    <w:p w14:paraId="00000035" w14:textId="77777777" w:rsidR="001B2587" w:rsidRDefault="00076C66">
      <w:pPr>
        <w:spacing w:after="0" w:line="360" w:lineRule="auto"/>
        <w:ind w:firstLine="720"/>
        <w:jc w:val="center"/>
        <w:rPr>
          <w:rFonts w:ascii="Arial" w:eastAsia="Arial" w:hAnsi="Arial" w:cs="Arial"/>
          <w:b/>
          <w:sz w:val="20"/>
          <w:szCs w:val="20"/>
        </w:rPr>
      </w:pPr>
      <w:r>
        <w:rPr>
          <w:rFonts w:ascii="Arial" w:eastAsia="Arial" w:hAnsi="Arial" w:cs="Arial"/>
          <w:b/>
          <w:sz w:val="20"/>
          <w:szCs w:val="20"/>
        </w:rPr>
        <w:t>Tabela 1 - Municípios Participantes do Mapeamento do ERI</w:t>
      </w:r>
    </w:p>
    <w:tbl>
      <w:tblPr>
        <w:tblStyle w:val="a2"/>
        <w:tblW w:w="906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31"/>
        <w:gridCol w:w="4531"/>
      </w:tblGrid>
      <w:tr w:rsidR="001B2587" w14:paraId="4C2DC683" w14:textId="77777777">
        <w:tc>
          <w:tcPr>
            <w:tcW w:w="4531" w:type="dxa"/>
            <w:shd w:val="clear" w:color="auto" w:fill="auto"/>
            <w:tcMar>
              <w:top w:w="100" w:type="dxa"/>
              <w:left w:w="100" w:type="dxa"/>
              <w:bottom w:w="100" w:type="dxa"/>
              <w:right w:w="100" w:type="dxa"/>
            </w:tcMar>
          </w:tcPr>
          <w:p w14:paraId="00000036" w14:textId="77777777" w:rsidR="001B2587" w:rsidRDefault="00076C66">
            <w:pPr>
              <w:keepLines/>
              <w:widowControl w:val="0"/>
              <w:pBdr>
                <w:top w:val="nil"/>
                <w:left w:val="nil"/>
                <w:bottom w:val="nil"/>
                <w:right w:val="nil"/>
                <w:between w:val="nil"/>
              </w:pBdr>
              <w:spacing w:after="0" w:line="240" w:lineRule="auto"/>
              <w:jc w:val="center"/>
              <w:rPr>
                <w:rFonts w:ascii="Arial" w:eastAsia="Arial" w:hAnsi="Arial" w:cs="Arial"/>
                <w:b/>
                <w:sz w:val="20"/>
                <w:szCs w:val="20"/>
              </w:rPr>
            </w:pPr>
            <w:r>
              <w:rPr>
                <w:rFonts w:ascii="Arial" w:eastAsia="Arial" w:hAnsi="Arial" w:cs="Arial"/>
                <w:b/>
                <w:sz w:val="20"/>
                <w:szCs w:val="20"/>
              </w:rPr>
              <w:t>Vale do Rio Pardo</w:t>
            </w:r>
          </w:p>
        </w:tc>
        <w:tc>
          <w:tcPr>
            <w:tcW w:w="4531" w:type="dxa"/>
            <w:shd w:val="clear" w:color="auto" w:fill="auto"/>
            <w:tcMar>
              <w:top w:w="100" w:type="dxa"/>
              <w:left w:w="100" w:type="dxa"/>
              <w:bottom w:w="100" w:type="dxa"/>
              <w:right w:w="100" w:type="dxa"/>
            </w:tcMar>
          </w:tcPr>
          <w:p w14:paraId="00000037" w14:textId="77777777" w:rsidR="001B2587" w:rsidRDefault="00076C66">
            <w:pPr>
              <w:keepLines/>
              <w:widowControl w:val="0"/>
              <w:pBdr>
                <w:top w:val="nil"/>
                <w:left w:val="nil"/>
                <w:bottom w:val="nil"/>
                <w:right w:val="nil"/>
                <w:between w:val="nil"/>
              </w:pBdr>
              <w:spacing w:after="0" w:line="240" w:lineRule="auto"/>
              <w:jc w:val="center"/>
              <w:rPr>
                <w:rFonts w:ascii="Arial" w:eastAsia="Arial" w:hAnsi="Arial" w:cs="Arial"/>
                <w:b/>
                <w:sz w:val="20"/>
                <w:szCs w:val="20"/>
              </w:rPr>
            </w:pPr>
            <w:r>
              <w:rPr>
                <w:rFonts w:ascii="Arial" w:eastAsia="Arial" w:hAnsi="Arial" w:cs="Arial"/>
                <w:b/>
                <w:sz w:val="20"/>
                <w:szCs w:val="20"/>
              </w:rPr>
              <w:t>Vale do Taquari</w:t>
            </w:r>
          </w:p>
        </w:tc>
      </w:tr>
      <w:tr w:rsidR="001B2587" w14:paraId="132573D9" w14:textId="77777777">
        <w:tc>
          <w:tcPr>
            <w:tcW w:w="4531" w:type="dxa"/>
            <w:shd w:val="clear" w:color="auto" w:fill="auto"/>
            <w:tcMar>
              <w:top w:w="100" w:type="dxa"/>
              <w:left w:w="100" w:type="dxa"/>
              <w:bottom w:w="100" w:type="dxa"/>
              <w:right w:w="100" w:type="dxa"/>
            </w:tcMar>
          </w:tcPr>
          <w:p w14:paraId="00000038" w14:textId="77777777" w:rsidR="001B2587" w:rsidRDefault="00076C66">
            <w:pPr>
              <w:keepLines/>
              <w:widowControl w:val="0"/>
              <w:numPr>
                <w:ilvl w:val="0"/>
                <w:numId w:val="2"/>
              </w:numPr>
              <w:pBdr>
                <w:top w:val="nil"/>
                <w:left w:val="nil"/>
                <w:bottom w:val="nil"/>
                <w:right w:val="nil"/>
                <w:between w:val="nil"/>
              </w:pBdr>
              <w:spacing w:after="0" w:line="240" w:lineRule="auto"/>
              <w:ind w:firstLine="0"/>
              <w:rPr>
                <w:rFonts w:ascii="Arial" w:eastAsia="Arial" w:hAnsi="Arial" w:cs="Arial"/>
                <w:sz w:val="20"/>
                <w:szCs w:val="20"/>
              </w:rPr>
            </w:pPr>
            <w:r>
              <w:rPr>
                <w:rFonts w:ascii="Arial" w:eastAsia="Arial" w:hAnsi="Arial" w:cs="Arial"/>
                <w:sz w:val="20"/>
                <w:szCs w:val="20"/>
              </w:rPr>
              <w:t>Arroio do Tigre;</w:t>
            </w:r>
          </w:p>
          <w:p w14:paraId="00000039" w14:textId="77777777" w:rsidR="001B2587" w:rsidRDefault="00076C66">
            <w:pPr>
              <w:keepLines/>
              <w:widowControl w:val="0"/>
              <w:numPr>
                <w:ilvl w:val="0"/>
                <w:numId w:val="2"/>
              </w:numPr>
              <w:pBdr>
                <w:top w:val="nil"/>
                <w:left w:val="nil"/>
                <w:bottom w:val="nil"/>
                <w:right w:val="nil"/>
                <w:between w:val="nil"/>
              </w:pBdr>
              <w:spacing w:after="0" w:line="240" w:lineRule="auto"/>
              <w:ind w:firstLine="0"/>
              <w:rPr>
                <w:rFonts w:ascii="Arial" w:eastAsia="Arial" w:hAnsi="Arial" w:cs="Arial"/>
                <w:sz w:val="20"/>
                <w:szCs w:val="20"/>
              </w:rPr>
            </w:pPr>
            <w:r>
              <w:rPr>
                <w:rFonts w:ascii="Arial" w:eastAsia="Arial" w:hAnsi="Arial" w:cs="Arial"/>
                <w:sz w:val="20"/>
                <w:szCs w:val="20"/>
              </w:rPr>
              <w:t>Boqueirão do Leão;</w:t>
            </w:r>
          </w:p>
          <w:p w14:paraId="0000003A" w14:textId="77777777" w:rsidR="001B2587" w:rsidRDefault="00076C66">
            <w:pPr>
              <w:keepLines/>
              <w:widowControl w:val="0"/>
              <w:numPr>
                <w:ilvl w:val="0"/>
                <w:numId w:val="2"/>
              </w:numPr>
              <w:pBdr>
                <w:top w:val="nil"/>
                <w:left w:val="nil"/>
                <w:bottom w:val="nil"/>
                <w:right w:val="nil"/>
                <w:between w:val="nil"/>
              </w:pBdr>
              <w:spacing w:after="0" w:line="240" w:lineRule="auto"/>
              <w:ind w:firstLine="0"/>
              <w:rPr>
                <w:rFonts w:ascii="Arial" w:eastAsia="Arial" w:hAnsi="Arial" w:cs="Arial"/>
                <w:sz w:val="20"/>
                <w:szCs w:val="20"/>
              </w:rPr>
            </w:pPr>
            <w:r>
              <w:rPr>
                <w:rFonts w:ascii="Arial" w:eastAsia="Arial" w:hAnsi="Arial" w:cs="Arial"/>
                <w:sz w:val="20"/>
                <w:szCs w:val="20"/>
              </w:rPr>
              <w:t>Candelária;</w:t>
            </w:r>
          </w:p>
          <w:p w14:paraId="0000003B" w14:textId="77777777" w:rsidR="001B2587" w:rsidRDefault="00076C66">
            <w:pPr>
              <w:keepLines/>
              <w:widowControl w:val="0"/>
              <w:numPr>
                <w:ilvl w:val="0"/>
                <w:numId w:val="2"/>
              </w:numPr>
              <w:pBdr>
                <w:top w:val="nil"/>
                <w:left w:val="nil"/>
                <w:bottom w:val="nil"/>
                <w:right w:val="nil"/>
                <w:between w:val="nil"/>
              </w:pBdr>
              <w:spacing w:after="0" w:line="240" w:lineRule="auto"/>
              <w:ind w:firstLine="0"/>
              <w:rPr>
                <w:rFonts w:ascii="Arial" w:eastAsia="Arial" w:hAnsi="Arial" w:cs="Arial"/>
                <w:sz w:val="20"/>
                <w:szCs w:val="20"/>
              </w:rPr>
            </w:pPr>
            <w:r>
              <w:rPr>
                <w:rFonts w:ascii="Arial" w:eastAsia="Arial" w:hAnsi="Arial" w:cs="Arial"/>
                <w:sz w:val="20"/>
                <w:szCs w:val="20"/>
              </w:rPr>
              <w:t>Encruzilhada do Sul;</w:t>
            </w:r>
          </w:p>
          <w:p w14:paraId="0000003C" w14:textId="77777777" w:rsidR="001B2587" w:rsidRDefault="00076C66">
            <w:pPr>
              <w:keepLines/>
              <w:widowControl w:val="0"/>
              <w:numPr>
                <w:ilvl w:val="0"/>
                <w:numId w:val="2"/>
              </w:numPr>
              <w:pBdr>
                <w:top w:val="nil"/>
                <w:left w:val="nil"/>
                <w:bottom w:val="nil"/>
                <w:right w:val="nil"/>
                <w:between w:val="nil"/>
              </w:pBdr>
              <w:spacing w:after="0" w:line="240" w:lineRule="auto"/>
              <w:ind w:firstLine="0"/>
              <w:rPr>
                <w:rFonts w:ascii="Arial" w:eastAsia="Arial" w:hAnsi="Arial" w:cs="Arial"/>
                <w:sz w:val="20"/>
                <w:szCs w:val="20"/>
              </w:rPr>
            </w:pPr>
            <w:r>
              <w:rPr>
                <w:rFonts w:ascii="Arial" w:eastAsia="Arial" w:hAnsi="Arial" w:cs="Arial"/>
                <w:sz w:val="20"/>
                <w:szCs w:val="20"/>
              </w:rPr>
              <w:t>Estrela Velha;</w:t>
            </w:r>
          </w:p>
          <w:p w14:paraId="0000003D" w14:textId="77777777" w:rsidR="001B2587" w:rsidRDefault="00076C66">
            <w:pPr>
              <w:keepLines/>
              <w:widowControl w:val="0"/>
              <w:numPr>
                <w:ilvl w:val="0"/>
                <w:numId w:val="2"/>
              </w:numPr>
              <w:pBdr>
                <w:top w:val="nil"/>
                <w:left w:val="nil"/>
                <w:bottom w:val="nil"/>
                <w:right w:val="nil"/>
                <w:between w:val="nil"/>
              </w:pBdr>
              <w:spacing w:after="0" w:line="240" w:lineRule="auto"/>
              <w:ind w:firstLine="0"/>
              <w:rPr>
                <w:rFonts w:ascii="Arial" w:eastAsia="Arial" w:hAnsi="Arial" w:cs="Arial"/>
                <w:sz w:val="20"/>
                <w:szCs w:val="20"/>
              </w:rPr>
            </w:pPr>
            <w:r>
              <w:rPr>
                <w:rFonts w:ascii="Arial" w:eastAsia="Arial" w:hAnsi="Arial" w:cs="Arial"/>
                <w:sz w:val="20"/>
                <w:szCs w:val="20"/>
              </w:rPr>
              <w:t>General Câmara;</w:t>
            </w:r>
          </w:p>
          <w:p w14:paraId="0000003E" w14:textId="77777777" w:rsidR="001B2587" w:rsidRDefault="00076C66">
            <w:pPr>
              <w:keepLines/>
              <w:widowControl w:val="0"/>
              <w:numPr>
                <w:ilvl w:val="0"/>
                <w:numId w:val="2"/>
              </w:numPr>
              <w:pBdr>
                <w:top w:val="nil"/>
                <w:left w:val="nil"/>
                <w:bottom w:val="nil"/>
                <w:right w:val="nil"/>
                <w:between w:val="nil"/>
              </w:pBdr>
              <w:spacing w:after="0" w:line="240" w:lineRule="auto"/>
              <w:ind w:firstLine="0"/>
              <w:rPr>
                <w:rFonts w:ascii="Arial" w:eastAsia="Arial" w:hAnsi="Arial" w:cs="Arial"/>
                <w:sz w:val="20"/>
                <w:szCs w:val="20"/>
              </w:rPr>
            </w:pPr>
            <w:r>
              <w:rPr>
                <w:rFonts w:ascii="Arial" w:eastAsia="Arial" w:hAnsi="Arial" w:cs="Arial"/>
                <w:sz w:val="20"/>
                <w:szCs w:val="20"/>
              </w:rPr>
              <w:t>Herveiras;</w:t>
            </w:r>
          </w:p>
          <w:p w14:paraId="0000003F" w14:textId="77777777" w:rsidR="001B2587" w:rsidRDefault="00076C66">
            <w:pPr>
              <w:keepLines/>
              <w:widowControl w:val="0"/>
              <w:numPr>
                <w:ilvl w:val="0"/>
                <w:numId w:val="2"/>
              </w:numPr>
              <w:pBdr>
                <w:top w:val="nil"/>
                <w:left w:val="nil"/>
                <w:bottom w:val="nil"/>
                <w:right w:val="nil"/>
                <w:between w:val="nil"/>
              </w:pBdr>
              <w:spacing w:after="0" w:line="240" w:lineRule="auto"/>
              <w:ind w:firstLine="0"/>
              <w:rPr>
                <w:rFonts w:ascii="Arial" w:eastAsia="Arial" w:hAnsi="Arial" w:cs="Arial"/>
                <w:sz w:val="20"/>
                <w:szCs w:val="20"/>
              </w:rPr>
            </w:pPr>
            <w:r>
              <w:rPr>
                <w:rFonts w:ascii="Arial" w:eastAsia="Arial" w:hAnsi="Arial" w:cs="Arial"/>
                <w:sz w:val="20"/>
                <w:szCs w:val="20"/>
              </w:rPr>
              <w:t>Ibarama;</w:t>
            </w:r>
          </w:p>
          <w:p w14:paraId="00000040" w14:textId="77777777" w:rsidR="001B2587" w:rsidRDefault="00076C66">
            <w:pPr>
              <w:keepLines/>
              <w:widowControl w:val="0"/>
              <w:numPr>
                <w:ilvl w:val="0"/>
                <w:numId w:val="2"/>
              </w:numPr>
              <w:pBdr>
                <w:top w:val="nil"/>
                <w:left w:val="nil"/>
                <w:bottom w:val="nil"/>
                <w:right w:val="nil"/>
                <w:between w:val="nil"/>
              </w:pBdr>
              <w:spacing w:after="0" w:line="240" w:lineRule="auto"/>
              <w:ind w:firstLine="0"/>
              <w:rPr>
                <w:rFonts w:ascii="Arial" w:eastAsia="Arial" w:hAnsi="Arial" w:cs="Arial"/>
                <w:sz w:val="20"/>
                <w:szCs w:val="20"/>
              </w:rPr>
            </w:pPr>
            <w:r>
              <w:rPr>
                <w:rFonts w:ascii="Arial" w:eastAsia="Arial" w:hAnsi="Arial" w:cs="Arial"/>
                <w:sz w:val="20"/>
                <w:szCs w:val="20"/>
              </w:rPr>
              <w:t>Mato Leitão;</w:t>
            </w:r>
          </w:p>
          <w:p w14:paraId="00000041" w14:textId="77777777" w:rsidR="001B2587" w:rsidRDefault="00076C66">
            <w:pPr>
              <w:keepLines/>
              <w:widowControl w:val="0"/>
              <w:numPr>
                <w:ilvl w:val="0"/>
                <w:numId w:val="2"/>
              </w:numPr>
              <w:pBdr>
                <w:top w:val="nil"/>
                <w:left w:val="nil"/>
                <w:bottom w:val="nil"/>
                <w:right w:val="nil"/>
                <w:between w:val="nil"/>
              </w:pBdr>
              <w:spacing w:after="0" w:line="240" w:lineRule="auto"/>
              <w:ind w:firstLine="0"/>
              <w:rPr>
                <w:rFonts w:ascii="Arial" w:eastAsia="Arial" w:hAnsi="Arial" w:cs="Arial"/>
                <w:sz w:val="20"/>
                <w:szCs w:val="20"/>
              </w:rPr>
            </w:pPr>
            <w:r>
              <w:rPr>
                <w:rFonts w:ascii="Arial" w:eastAsia="Arial" w:hAnsi="Arial" w:cs="Arial"/>
                <w:sz w:val="20"/>
                <w:szCs w:val="20"/>
              </w:rPr>
              <w:t>Pantano Grande;</w:t>
            </w:r>
          </w:p>
          <w:p w14:paraId="00000042" w14:textId="77777777" w:rsidR="001B2587" w:rsidRDefault="00076C66">
            <w:pPr>
              <w:keepLines/>
              <w:widowControl w:val="0"/>
              <w:numPr>
                <w:ilvl w:val="0"/>
                <w:numId w:val="2"/>
              </w:numPr>
              <w:pBdr>
                <w:top w:val="nil"/>
                <w:left w:val="nil"/>
                <w:bottom w:val="nil"/>
                <w:right w:val="nil"/>
                <w:between w:val="nil"/>
              </w:pBdr>
              <w:spacing w:after="0" w:line="240" w:lineRule="auto"/>
              <w:ind w:firstLine="0"/>
              <w:rPr>
                <w:rFonts w:ascii="Arial" w:eastAsia="Arial" w:hAnsi="Arial" w:cs="Arial"/>
                <w:sz w:val="20"/>
                <w:szCs w:val="20"/>
              </w:rPr>
            </w:pPr>
            <w:r>
              <w:rPr>
                <w:rFonts w:ascii="Arial" w:eastAsia="Arial" w:hAnsi="Arial" w:cs="Arial"/>
                <w:sz w:val="20"/>
                <w:szCs w:val="20"/>
              </w:rPr>
              <w:t>Passa Sete;</w:t>
            </w:r>
          </w:p>
          <w:p w14:paraId="00000043" w14:textId="77777777" w:rsidR="001B2587" w:rsidRDefault="00076C66">
            <w:pPr>
              <w:keepLines/>
              <w:widowControl w:val="0"/>
              <w:numPr>
                <w:ilvl w:val="0"/>
                <w:numId w:val="2"/>
              </w:numPr>
              <w:pBdr>
                <w:top w:val="nil"/>
                <w:left w:val="nil"/>
                <w:bottom w:val="nil"/>
                <w:right w:val="nil"/>
                <w:between w:val="nil"/>
              </w:pBdr>
              <w:spacing w:after="0" w:line="240" w:lineRule="auto"/>
              <w:ind w:firstLine="0"/>
              <w:rPr>
                <w:rFonts w:ascii="Arial" w:eastAsia="Arial" w:hAnsi="Arial" w:cs="Arial"/>
                <w:sz w:val="20"/>
                <w:szCs w:val="20"/>
              </w:rPr>
            </w:pPr>
            <w:r>
              <w:rPr>
                <w:rFonts w:ascii="Arial" w:eastAsia="Arial" w:hAnsi="Arial" w:cs="Arial"/>
                <w:sz w:val="20"/>
                <w:szCs w:val="20"/>
              </w:rPr>
              <w:t>Passo do Sobrado;</w:t>
            </w:r>
          </w:p>
          <w:p w14:paraId="00000044" w14:textId="77777777" w:rsidR="001B2587" w:rsidRDefault="00076C66">
            <w:pPr>
              <w:keepLines/>
              <w:widowControl w:val="0"/>
              <w:numPr>
                <w:ilvl w:val="0"/>
                <w:numId w:val="2"/>
              </w:numPr>
              <w:pBdr>
                <w:top w:val="nil"/>
                <w:left w:val="nil"/>
                <w:bottom w:val="nil"/>
                <w:right w:val="nil"/>
                <w:between w:val="nil"/>
              </w:pBdr>
              <w:spacing w:after="0" w:line="240" w:lineRule="auto"/>
              <w:ind w:firstLine="0"/>
              <w:rPr>
                <w:rFonts w:ascii="Arial" w:eastAsia="Arial" w:hAnsi="Arial" w:cs="Arial"/>
                <w:sz w:val="20"/>
                <w:szCs w:val="20"/>
              </w:rPr>
            </w:pPr>
            <w:r>
              <w:rPr>
                <w:rFonts w:ascii="Arial" w:eastAsia="Arial" w:hAnsi="Arial" w:cs="Arial"/>
                <w:sz w:val="20"/>
                <w:szCs w:val="20"/>
              </w:rPr>
              <w:t>Rio Pardo;</w:t>
            </w:r>
          </w:p>
          <w:p w14:paraId="00000045" w14:textId="77777777" w:rsidR="001B2587" w:rsidRDefault="00076C66">
            <w:pPr>
              <w:keepLines/>
              <w:widowControl w:val="0"/>
              <w:numPr>
                <w:ilvl w:val="0"/>
                <w:numId w:val="2"/>
              </w:numPr>
              <w:pBdr>
                <w:top w:val="nil"/>
                <w:left w:val="nil"/>
                <w:bottom w:val="nil"/>
                <w:right w:val="nil"/>
                <w:between w:val="nil"/>
              </w:pBdr>
              <w:spacing w:after="0" w:line="240" w:lineRule="auto"/>
              <w:ind w:firstLine="0"/>
              <w:rPr>
                <w:rFonts w:ascii="Arial" w:eastAsia="Arial" w:hAnsi="Arial" w:cs="Arial"/>
                <w:sz w:val="20"/>
                <w:szCs w:val="20"/>
              </w:rPr>
            </w:pPr>
            <w:r>
              <w:rPr>
                <w:rFonts w:ascii="Arial" w:eastAsia="Arial" w:hAnsi="Arial" w:cs="Arial"/>
                <w:sz w:val="20"/>
                <w:szCs w:val="20"/>
              </w:rPr>
              <w:lastRenderedPageBreak/>
              <w:t>Santa Cruz do Sul;</w:t>
            </w:r>
          </w:p>
          <w:p w14:paraId="00000046" w14:textId="77777777" w:rsidR="001B2587" w:rsidRDefault="00076C66">
            <w:pPr>
              <w:keepLines/>
              <w:widowControl w:val="0"/>
              <w:numPr>
                <w:ilvl w:val="0"/>
                <w:numId w:val="2"/>
              </w:numPr>
              <w:pBdr>
                <w:top w:val="nil"/>
                <w:left w:val="nil"/>
                <w:bottom w:val="nil"/>
                <w:right w:val="nil"/>
                <w:between w:val="nil"/>
              </w:pBdr>
              <w:spacing w:after="0" w:line="240" w:lineRule="auto"/>
              <w:ind w:firstLine="0"/>
              <w:rPr>
                <w:rFonts w:ascii="Arial" w:eastAsia="Arial" w:hAnsi="Arial" w:cs="Arial"/>
                <w:sz w:val="20"/>
                <w:szCs w:val="20"/>
              </w:rPr>
            </w:pPr>
            <w:r>
              <w:rPr>
                <w:rFonts w:ascii="Arial" w:eastAsia="Arial" w:hAnsi="Arial" w:cs="Arial"/>
                <w:sz w:val="20"/>
                <w:szCs w:val="20"/>
              </w:rPr>
              <w:t>Segredo;</w:t>
            </w:r>
          </w:p>
          <w:p w14:paraId="00000047" w14:textId="77777777" w:rsidR="001B2587" w:rsidRDefault="00076C66">
            <w:pPr>
              <w:keepLines/>
              <w:widowControl w:val="0"/>
              <w:numPr>
                <w:ilvl w:val="0"/>
                <w:numId w:val="2"/>
              </w:numPr>
              <w:pBdr>
                <w:top w:val="nil"/>
                <w:left w:val="nil"/>
                <w:bottom w:val="nil"/>
                <w:right w:val="nil"/>
                <w:between w:val="nil"/>
              </w:pBdr>
              <w:spacing w:after="0" w:line="240" w:lineRule="auto"/>
              <w:ind w:firstLine="0"/>
              <w:rPr>
                <w:rFonts w:ascii="Arial" w:eastAsia="Arial" w:hAnsi="Arial" w:cs="Arial"/>
                <w:sz w:val="20"/>
                <w:szCs w:val="20"/>
              </w:rPr>
            </w:pPr>
            <w:r>
              <w:rPr>
                <w:rFonts w:ascii="Arial" w:eastAsia="Arial" w:hAnsi="Arial" w:cs="Arial"/>
                <w:sz w:val="20"/>
                <w:szCs w:val="20"/>
              </w:rPr>
              <w:t>Sinimbu;</w:t>
            </w:r>
          </w:p>
          <w:p w14:paraId="00000048" w14:textId="77777777" w:rsidR="001B2587" w:rsidRDefault="00076C66">
            <w:pPr>
              <w:keepLines/>
              <w:widowControl w:val="0"/>
              <w:numPr>
                <w:ilvl w:val="0"/>
                <w:numId w:val="2"/>
              </w:numPr>
              <w:pBdr>
                <w:top w:val="nil"/>
                <w:left w:val="nil"/>
                <w:bottom w:val="nil"/>
                <w:right w:val="nil"/>
                <w:between w:val="nil"/>
              </w:pBdr>
              <w:spacing w:after="0" w:line="240" w:lineRule="auto"/>
              <w:ind w:firstLine="0"/>
              <w:rPr>
                <w:rFonts w:ascii="Arial" w:eastAsia="Arial" w:hAnsi="Arial" w:cs="Arial"/>
                <w:sz w:val="20"/>
                <w:szCs w:val="20"/>
              </w:rPr>
            </w:pPr>
            <w:r>
              <w:rPr>
                <w:rFonts w:ascii="Arial" w:eastAsia="Arial" w:hAnsi="Arial" w:cs="Arial"/>
                <w:sz w:val="20"/>
                <w:szCs w:val="20"/>
              </w:rPr>
              <w:t>Sobradinho;</w:t>
            </w:r>
          </w:p>
          <w:p w14:paraId="00000049" w14:textId="77777777" w:rsidR="001B2587" w:rsidRDefault="00076C66">
            <w:pPr>
              <w:keepLines/>
              <w:widowControl w:val="0"/>
              <w:numPr>
                <w:ilvl w:val="0"/>
                <w:numId w:val="2"/>
              </w:numPr>
              <w:pBdr>
                <w:top w:val="nil"/>
                <w:left w:val="nil"/>
                <w:bottom w:val="nil"/>
                <w:right w:val="nil"/>
                <w:between w:val="nil"/>
              </w:pBdr>
              <w:spacing w:after="0" w:line="240" w:lineRule="auto"/>
              <w:ind w:firstLine="0"/>
              <w:rPr>
                <w:rFonts w:ascii="Arial" w:eastAsia="Arial" w:hAnsi="Arial" w:cs="Arial"/>
                <w:sz w:val="20"/>
                <w:szCs w:val="20"/>
              </w:rPr>
            </w:pPr>
            <w:r>
              <w:rPr>
                <w:rFonts w:ascii="Arial" w:eastAsia="Arial" w:hAnsi="Arial" w:cs="Arial"/>
                <w:sz w:val="20"/>
                <w:szCs w:val="20"/>
              </w:rPr>
              <w:t>Tunas;</w:t>
            </w:r>
          </w:p>
          <w:p w14:paraId="0000004A" w14:textId="77777777" w:rsidR="001B2587" w:rsidRDefault="00076C66">
            <w:pPr>
              <w:keepLines/>
              <w:widowControl w:val="0"/>
              <w:numPr>
                <w:ilvl w:val="0"/>
                <w:numId w:val="2"/>
              </w:numPr>
              <w:pBdr>
                <w:top w:val="nil"/>
                <w:left w:val="nil"/>
                <w:bottom w:val="nil"/>
                <w:right w:val="nil"/>
                <w:between w:val="nil"/>
              </w:pBdr>
              <w:spacing w:after="0" w:line="240" w:lineRule="auto"/>
              <w:ind w:firstLine="0"/>
              <w:rPr>
                <w:rFonts w:ascii="Arial" w:eastAsia="Arial" w:hAnsi="Arial" w:cs="Arial"/>
                <w:sz w:val="20"/>
                <w:szCs w:val="20"/>
              </w:rPr>
            </w:pPr>
            <w:r>
              <w:rPr>
                <w:rFonts w:ascii="Arial" w:eastAsia="Arial" w:hAnsi="Arial" w:cs="Arial"/>
                <w:sz w:val="20"/>
                <w:szCs w:val="20"/>
              </w:rPr>
              <w:t>Vale do Sol;</w:t>
            </w:r>
          </w:p>
          <w:p w14:paraId="0000004B" w14:textId="77777777" w:rsidR="001B2587" w:rsidRDefault="00076C66">
            <w:pPr>
              <w:keepLines/>
              <w:widowControl w:val="0"/>
              <w:numPr>
                <w:ilvl w:val="0"/>
                <w:numId w:val="2"/>
              </w:numPr>
              <w:pBdr>
                <w:top w:val="nil"/>
                <w:left w:val="nil"/>
                <w:bottom w:val="nil"/>
                <w:right w:val="nil"/>
                <w:between w:val="nil"/>
              </w:pBdr>
              <w:spacing w:after="0" w:line="240" w:lineRule="auto"/>
              <w:ind w:firstLine="0"/>
              <w:rPr>
                <w:rFonts w:ascii="Arial" w:eastAsia="Arial" w:hAnsi="Arial" w:cs="Arial"/>
                <w:sz w:val="20"/>
                <w:szCs w:val="20"/>
              </w:rPr>
            </w:pPr>
            <w:r>
              <w:rPr>
                <w:rFonts w:ascii="Arial" w:eastAsia="Arial" w:hAnsi="Arial" w:cs="Arial"/>
                <w:sz w:val="20"/>
                <w:szCs w:val="20"/>
              </w:rPr>
              <w:t>Vale Verde;</w:t>
            </w:r>
          </w:p>
          <w:p w14:paraId="0000004C" w14:textId="77777777" w:rsidR="001B2587" w:rsidRDefault="00076C66">
            <w:pPr>
              <w:keepLines/>
              <w:widowControl w:val="0"/>
              <w:numPr>
                <w:ilvl w:val="0"/>
                <w:numId w:val="2"/>
              </w:numPr>
              <w:pBdr>
                <w:top w:val="nil"/>
                <w:left w:val="nil"/>
                <w:bottom w:val="nil"/>
                <w:right w:val="nil"/>
                <w:between w:val="nil"/>
              </w:pBdr>
              <w:spacing w:after="0" w:line="240" w:lineRule="auto"/>
              <w:ind w:firstLine="0"/>
              <w:rPr>
                <w:rFonts w:ascii="Arial" w:eastAsia="Arial" w:hAnsi="Arial" w:cs="Arial"/>
                <w:sz w:val="20"/>
                <w:szCs w:val="20"/>
              </w:rPr>
            </w:pPr>
            <w:r>
              <w:rPr>
                <w:rFonts w:ascii="Arial" w:eastAsia="Arial" w:hAnsi="Arial" w:cs="Arial"/>
                <w:sz w:val="20"/>
                <w:szCs w:val="20"/>
              </w:rPr>
              <w:t>Venâncio Aires;</w:t>
            </w:r>
          </w:p>
          <w:p w14:paraId="0000004D" w14:textId="77777777" w:rsidR="001B2587" w:rsidRDefault="00076C66">
            <w:pPr>
              <w:keepLines/>
              <w:widowControl w:val="0"/>
              <w:numPr>
                <w:ilvl w:val="0"/>
                <w:numId w:val="2"/>
              </w:numPr>
              <w:pBdr>
                <w:top w:val="nil"/>
                <w:left w:val="nil"/>
                <w:bottom w:val="nil"/>
                <w:right w:val="nil"/>
                <w:between w:val="nil"/>
              </w:pBdr>
              <w:spacing w:after="0" w:line="240" w:lineRule="auto"/>
              <w:ind w:firstLine="0"/>
              <w:rPr>
                <w:rFonts w:ascii="Arial" w:eastAsia="Arial" w:hAnsi="Arial" w:cs="Arial"/>
                <w:sz w:val="20"/>
                <w:szCs w:val="20"/>
              </w:rPr>
            </w:pPr>
            <w:r>
              <w:rPr>
                <w:rFonts w:ascii="Arial" w:eastAsia="Arial" w:hAnsi="Arial" w:cs="Arial"/>
                <w:sz w:val="20"/>
                <w:szCs w:val="20"/>
              </w:rPr>
              <w:t>Vera Cruz.</w:t>
            </w:r>
          </w:p>
        </w:tc>
        <w:tc>
          <w:tcPr>
            <w:tcW w:w="4531" w:type="dxa"/>
            <w:shd w:val="clear" w:color="auto" w:fill="auto"/>
            <w:tcMar>
              <w:top w:w="100" w:type="dxa"/>
              <w:left w:w="100" w:type="dxa"/>
              <w:bottom w:w="100" w:type="dxa"/>
              <w:right w:w="100" w:type="dxa"/>
            </w:tcMar>
          </w:tcPr>
          <w:p w14:paraId="0000004E" w14:textId="77777777" w:rsidR="001B2587" w:rsidRDefault="00076C66">
            <w:pPr>
              <w:keepLines/>
              <w:numPr>
                <w:ilvl w:val="0"/>
                <w:numId w:val="2"/>
              </w:numPr>
              <w:spacing w:after="0" w:line="240" w:lineRule="auto"/>
              <w:ind w:firstLine="0"/>
              <w:jc w:val="both"/>
              <w:rPr>
                <w:rFonts w:ascii="Arial" w:eastAsia="Arial" w:hAnsi="Arial" w:cs="Arial"/>
                <w:sz w:val="20"/>
                <w:szCs w:val="20"/>
              </w:rPr>
            </w:pPr>
            <w:r>
              <w:rPr>
                <w:rFonts w:ascii="Arial" w:eastAsia="Arial" w:hAnsi="Arial" w:cs="Arial"/>
                <w:sz w:val="20"/>
                <w:szCs w:val="20"/>
              </w:rPr>
              <w:lastRenderedPageBreak/>
              <w:t>Arroio do Meio;</w:t>
            </w:r>
          </w:p>
          <w:p w14:paraId="0000004F" w14:textId="77777777" w:rsidR="001B2587" w:rsidRDefault="00076C66">
            <w:pPr>
              <w:keepLines/>
              <w:numPr>
                <w:ilvl w:val="0"/>
                <w:numId w:val="2"/>
              </w:numPr>
              <w:spacing w:after="0" w:line="240" w:lineRule="auto"/>
              <w:ind w:firstLine="0"/>
              <w:jc w:val="both"/>
              <w:rPr>
                <w:rFonts w:ascii="Arial" w:eastAsia="Arial" w:hAnsi="Arial" w:cs="Arial"/>
                <w:sz w:val="20"/>
                <w:szCs w:val="20"/>
              </w:rPr>
            </w:pPr>
            <w:r>
              <w:rPr>
                <w:rFonts w:ascii="Arial" w:eastAsia="Arial" w:hAnsi="Arial" w:cs="Arial"/>
                <w:sz w:val="20"/>
                <w:szCs w:val="20"/>
              </w:rPr>
              <w:t>Arvorezinha;</w:t>
            </w:r>
          </w:p>
          <w:p w14:paraId="00000050" w14:textId="77777777" w:rsidR="001B2587" w:rsidRDefault="00076C66">
            <w:pPr>
              <w:keepLines/>
              <w:numPr>
                <w:ilvl w:val="0"/>
                <w:numId w:val="2"/>
              </w:numPr>
              <w:spacing w:after="0" w:line="240" w:lineRule="auto"/>
              <w:ind w:firstLine="0"/>
              <w:jc w:val="both"/>
              <w:rPr>
                <w:rFonts w:ascii="Arial" w:eastAsia="Arial" w:hAnsi="Arial" w:cs="Arial"/>
                <w:sz w:val="20"/>
                <w:szCs w:val="20"/>
              </w:rPr>
            </w:pPr>
            <w:r>
              <w:rPr>
                <w:rFonts w:ascii="Arial" w:eastAsia="Arial" w:hAnsi="Arial" w:cs="Arial"/>
                <w:sz w:val="20"/>
                <w:szCs w:val="20"/>
              </w:rPr>
              <w:t>Bom Retiro do Sul;</w:t>
            </w:r>
          </w:p>
          <w:p w14:paraId="00000051" w14:textId="77777777" w:rsidR="001B2587" w:rsidRDefault="00076C66">
            <w:pPr>
              <w:keepLines/>
              <w:numPr>
                <w:ilvl w:val="0"/>
                <w:numId w:val="2"/>
              </w:numPr>
              <w:spacing w:after="0" w:line="240" w:lineRule="auto"/>
              <w:ind w:firstLine="0"/>
              <w:jc w:val="both"/>
              <w:rPr>
                <w:rFonts w:ascii="Arial" w:eastAsia="Arial" w:hAnsi="Arial" w:cs="Arial"/>
                <w:sz w:val="20"/>
                <w:szCs w:val="20"/>
              </w:rPr>
            </w:pPr>
            <w:r>
              <w:rPr>
                <w:rFonts w:ascii="Arial" w:eastAsia="Arial" w:hAnsi="Arial" w:cs="Arial"/>
                <w:sz w:val="20"/>
                <w:szCs w:val="20"/>
              </w:rPr>
              <w:t>Canudos do Vale;</w:t>
            </w:r>
          </w:p>
          <w:p w14:paraId="00000052" w14:textId="77777777" w:rsidR="001B2587" w:rsidRDefault="00076C66">
            <w:pPr>
              <w:keepLines/>
              <w:numPr>
                <w:ilvl w:val="0"/>
                <w:numId w:val="2"/>
              </w:numPr>
              <w:spacing w:after="0" w:line="240" w:lineRule="auto"/>
              <w:ind w:firstLine="0"/>
              <w:jc w:val="both"/>
              <w:rPr>
                <w:rFonts w:ascii="Arial" w:eastAsia="Arial" w:hAnsi="Arial" w:cs="Arial"/>
                <w:sz w:val="20"/>
                <w:szCs w:val="20"/>
              </w:rPr>
            </w:pPr>
            <w:r>
              <w:rPr>
                <w:rFonts w:ascii="Arial" w:eastAsia="Arial" w:hAnsi="Arial" w:cs="Arial"/>
                <w:sz w:val="20"/>
                <w:szCs w:val="20"/>
              </w:rPr>
              <w:t>Coqueiro Baixo;</w:t>
            </w:r>
          </w:p>
          <w:p w14:paraId="00000053" w14:textId="77777777" w:rsidR="001B2587" w:rsidRDefault="00076C66">
            <w:pPr>
              <w:keepLines/>
              <w:numPr>
                <w:ilvl w:val="0"/>
                <w:numId w:val="2"/>
              </w:numPr>
              <w:spacing w:after="0" w:line="240" w:lineRule="auto"/>
              <w:ind w:firstLine="0"/>
              <w:jc w:val="both"/>
              <w:rPr>
                <w:rFonts w:ascii="Arial" w:eastAsia="Arial" w:hAnsi="Arial" w:cs="Arial"/>
                <w:sz w:val="20"/>
                <w:szCs w:val="20"/>
              </w:rPr>
            </w:pPr>
            <w:r>
              <w:rPr>
                <w:rFonts w:ascii="Arial" w:eastAsia="Arial" w:hAnsi="Arial" w:cs="Arial"/>
                <w:sz w:val="20"/>
                <w:szCs w:val="20"/>
              </w:rPr>
              <w:t>Encantado;</w:t>
            </w:r>
          </w:p>
          <w:p w14:paraId="00000054" w14:textId="77777777" w:rsidR="001B2587" w:rsidRDefault="00076C66">
            <w:pPr>
              <w:keepLines/>
              <w:numPr>
                <w:ilvl w:val="0"/>
                <w:numId w:val="2"/>
              </w:numPr>
              <w:spacing w:after="0" w:line="240" w:lineRule="auto"/>
              <w:ind w:firstLine="0"/>
              <w:jc w:val="both"/>
              <w:rPr>
                <w:rFonts w:ascii="Arial" w:eastAsia="Arial" w:hAnsi="Arial" w:cs="Arial"/>
                <w:sz w:val="20"/>
                <w:szCs w:val="20"/>
              </w:rPr>
            </w:pPr>
            <w:r>
              <w:rPr>
                <w:rFonts w:ascii="Arial" w:eastAsia="Arial" w:hAnsi="Arial" w:cs="Arial"/>
                <w:sz w:val="20"/>
                <w:szCs w:val="20"/>
              </w:rPr>
              <w:t>Estrela;</w:t>
            </w:r>
          </w:p>
          <w:p w14:paraId="00000055" w14:textId="77777777" w:rsidR="001B2587" w:rsidRDefault="00076C66">
            <w:pPr>
              <w:keepLines/>
              <w:numPr>
                <w:ilvl w:val="0"/>
                <w:numId w:val="2"/>
              </w:numPr>
              <w:spacing w:after="0" w:line="240" w:lineRule="auto"/>
              <w:ind w:firstLine="0"/>
              <w:jc w:val="both"/>
              <w:rPr>
                <w:rFonts w:ascii="Arial" w:eastAsia="Arial" w:hAnsi="Arial" w:cs="Arial"/>
                <w:sz w:val="20"/>
                <w:szCs w:val="20"/>
              </w:rPr>
            </w:pPr>
            <w:r>
              <w:rPr>
                <w:rFonts w:ascii="Arial" w:eastAsia="Arial" w:hAnsi="Arial" w:cs="Arial"/>
                <w:sz w:val="20"/>
                <w:szCs w:val="20"/>
              </w:rPr>
              <w:t>Fazenda Vilanova;</w:t>
            </w:r>
          </w:p>
          <w:p w14:paraId="00000056" w14:textId="77777777" w:rsidR="001B2587" w:rsidRDefault="00076C66">
            <w:pPr>
              <w:keepLines/>
              <w:numPr>
                <w:ilvl w:val="0"/>
                <w:numId w:val="2"/>
              </w:numPr>
              <w:spacing w:after="0" w:line="240" w:lineRule="auto"/>
              <w:ind w:firstLine="0"/>
              <w:jc w:val="both"/>
              <w:rPr>
                <w:rFonts w:ascii="Arial" w:eastAsia="Arial" w:hAnsi="Arial" w:cs="Arial"/>
                <w:sz w:val="20"/>
                <w:szCs w:val="20"/>
              </w:rPr>
            </w:pPr>
            <w:r>
              <w:rPr>
                <w:rFonts w:ascii="Arial" w:eastAsia="Arial" w:hAnsi="Arial" w:cs="Arial"/>
                <w:sz w:val="20"/>
                <w:szCs w:val="20"/>
              </w:rPr>
              <w:t>Lajeado;</w:t>
            </w:r>
          </w:p>
          <w:p w14:paraId="00000057" w14:textId="77777777" w:rsidR="001B2587" w:rsidRDefault="00076C66">
            <w:pPr>
              <w:keepLines/>
              <w:numPr>
                <w:ilvl w:val="0"/>
                <w:numId w:val="2"/>
              </w:numPr>
              <w:spacing w:after="0" w:line="240" w:lineRule="auto"/>
              <w:ind w:firstLine="0"/>
              <w:jc w:val="both"/>
              <w:rPr>
                <w:rFonts w:ascii="Arial" w:eastAsia="Arial" w:hAnsi="Arial" w:cs="Arial"/>
                <w:sz w:val="20"/>
                <w:szCs w:val="20"/>
              </w:rPr>
            </w:pPr>
            <w:r>
              <w:rPr>
                <w:rFonts w:ascii="Arial" w:eastAsia="Arial" w:hAnsi="Arial" w:cs="Arial"/>
                <w:sz w:val="20"/>
                <w:szCs w:val="20"/>
              </w:rPr>
              <w:t>Marques de Souza;</w:t>
            </w:r>
          </w:p>
          <w:p w14:paraId="00000058" w14:textId="77777777" w:rsidR="001B2587" w:rsidRDefault="00076C66">
            <w:pPr>
              <w:keepLines/>
              <w:numPr>
                <w:ilvl w:val="0"/>
                <w:numId w:val="2"/>
              </w:numPr>
              <w:spacing w:after="0" w:line="240" w:lineRule="auto"/>
              <w:ind w:firstLine="0"/>
              <w:jc w:val="both"/>
              <w:rPr>
                <w:rFonts w:ascii="Arial" w:eastAsia="Arial" w:hAnsi="Arial" w:cs="Arial"/>
                <w:sz w:val="20"/>
                <w:szCs w:val="20"/>
              </w:rPr>
            </w:pPr>
            <w:r>
              <w:rPr>
                <w:rFonts w:ascii="Arial" w:eastAsia="Arial" w:hAnsi="Arial" w:cs="Arial"/>
                <w:sz w:val="20"/>
                <w:szCs w:val="20"/>
              </w:rPr>
              <w:t>Muçum;</w:t>
            </w:r>
          </w:p>
          <w:p w14:paraId="00000059" w14:textId="77777777" w:rsidR="001B2587" w:rsidRDefault="00076C66">
            <w:pPr>
              <w:keepLines/>
              <w:numPr>
                <w:ilvl w:val="0"/>
                <w:numId w:val="2"/>
              </w:numPr>
              <w:spacing w:after="0" w:line="240" w:lineRule="auto"/>
              <w:ind w:firstLine="0"/>
              <w:jc w:val="both"/>
              <w:rPr>
                <w:rFonts w:ascii="Arial" w:eastAsia="Arial" w:hAnsi="Arial" w:cs="Arial"/>
                <w:sz w:val="20"/>
                <w:szCs w:val="20"/>
              </w:rPr>
            </w:pPr>
            <w:r>
              <w:rPr>
                <w:rFonts w:ascii="Arial" w:eastAsia="Arial" w:hAnsi="Arial" w:cs="Arial"/>
                <w:sz w:val="20"/>
                <w:szCs w:val="20"/>
              </w:rPr>
              <w:t>Poço das Antas;</w:t>
            </w:r>
          </w:p>
          <w:p w14:paraId="0000005A" w14:textId="77777777" w:rsidR="001B2587" w:rsidRDefault="00076C66">
            <w:pPr>
              <w:keepLines/>
              <w:numPr>
                <w:ilvl w:val="0"/>
                <w:numId w:val="2"/>
              </w:numPr>
              <w:spacing w:after="0" w:line="240" w:lineRule="auto"/>
              <w:ind w:firstLine="0"/>
              <w:jc w:val="both"/>
              <w:rPr>
                <w:rFonts w:ascii="Arial" w:eastAsia="Arial" w:hAnsi="Arial" w:cs="Arial"/>
                <w:sz w:val="20"/>
                <w:szCs w:val="20"/>
              </w:rPr>
            </w:pPr>
            <w:r>
              <w:rPr>
                <w:rFonts w:ascii="Arial" w:eastAsia="Arial" w:hAnsi="Arial" w:cs="Arial"/>
                <w:sz w:val="20"/>
                <w:szCs w:val="20"/>
              </w:rPr>
              <w:t>Progresso;</w:t>
            </w:r>
          </w:p>
          <w:p w14:paraId="0000005B" w14:textId="77777777" w:rsidR="001B2587" w:rsidRDefault="00076C66">
            <w:pPr>
              <w:keepLines/>
              <w:numPr>
                <w:ilvl w:val="0"/>
                <w:numId w:val="2"/>
              </w:numPr>
              <w:spacing w:after="0" w:line="240" w:lineRule="auto"/>
              <w:ind w:firstLine="0"/>
              <w:jc w:val="both"/>
              <w:rPr>
                <w:rFonts w:ascii="Arial" w:eastAsia="Arial" w:hAnsi="Arial" w:cs="Arial"/>
                <w:sz w:val="20"/>
                <w:szCs w:val="20"/>
              </w:rPr>
            </w:pPr>
            <w:r>
              <w:rPr>
                <w:rFonts w:ascii="Arial" w:eastAsia="Arial" w:hAnsi="Arial" w:cs="Arial"/>
                <w:sz w:val="20"/>
                <w:szCs w:val="20"/>
              </w:rPr>
              <w:lastRenderedPageBreak/>
              <w:t>Relvado;</w:t>
            </w:r>
          </w:p>
          <w:p w14:paraId="0000005C" w14:textId="77777777" w:rsidR="001B2587" w:rsidRDefault="00076C66">
            <w:pPr>
              <w:keepLines/>
              <w:numPr>
                <w:ilvl w:val="0"/>
                <w:numId w:val="2"/>
              </w:numPr>
              <w:spacing w:after="0" w:line="240" w:lineRule="auto"/>
              <w:ind w:firstLine="0"/>
              <w:jc w:val="both"/>
              <w:rPr>
                <w:rFonts w:ascii="Arial" w:eastAsia="Arial" w:hAnsi="Arial" w:cs="Arial"/>
                <w:sz w:val="20"/>
                <w:szCs w:val="20"/>
              </w:rPr>
            </w:pPr>
            <w:r>
              <w:rPr>
                <w:rFonts w:ascii="Arial" w:eastAsia="Arial" w:hAnsi="Arial" w:cs="Arial"/>
                <w:sz w:val="20"/>
                <w:szCs w:val="20"/>
              </w:rPr>
              <w:t>Santa Clara do Sul;</w:t>
            </w:r>
          </w:p>
          <w:p w14:paraId="0000005D" w14:textId="77777777" w:rsidR="001B2587" w:rsidRDefault="00076C66">
            <w:pPr>
              <w:keepLines/>
              <w:numPr>
                <w:ilvl w:val="0"/>
                <w:numId w:val="2"/>
              </w:numPr>
              <w:spacing w:after="0" w:line="240" w:lineRule="auto"/>
              <w:ind w:firstLine="0"/>
              <w:jc w:val="both"/>
              <w:rPr>
                <w:rFonts w:ascii="Arial" w:eastAsia="Arial" w:hAnsi="Arial" w:cs="Arial"/>
                <w:sz w:val="20"/>
                <w:szCs w:val="20"/>
              </w:rPr>
            </w:pPr>
            <w:r>
              <w:rPr>
                <w:rFonts w:ascii="Arial" w:eastAsia="Arial" w:hAnsi="Arial" w:cs="Arial"/>
                <w:sz w:val="20"/>
                <w:szCs w:val="20"/>
              </w:rPr>
              <w:t>Teutônia;</w:t>
            </w:r>
          </w:p>
          <w:p w14:paraId="0000005E" w14:textId="77777777" w:rsidR="001B2587" w:rsidRDefault="00076C66">
            <w:pPr>
              <w:keepLines/>
              <w:numPr>
                <w:ilvl w:val="0"/>
                <w:numId w:val="2"/>
              </w:numPr>
              <w:spacing w:after="0" w:line="240" w:lineRule="auto"/>
              <w:ind w:firstLine="0"/>
              <w:jc w:val="both"/>
              <w:rPr>
                <w:rFonts w:ascii="Arial" w:eastAsia="Arial" w:hAnsi="Arial" w:cs="Arial"/>
                <w:sz w:val="20"/>
                <w:szCs w:val="20"/>
              </w:rPr>
            </w:pPr>
            <w:r>
              <w:rPr>
                <w:rFonts w:ascii="Arial" w:eastAsia="Arial" w:hAnsi="Arial" w:cs="Arial"/>
                <w:sz w:val="20"/>
                <w:szCs w:val="20"/>
              </w:rPr>
              <w:t>Travesseiro;</w:t>
            </w:r>
          </w:p>
          <w:p w14:paraId="0000005F" w14:textId="77777777" w:rsidR="001B2587" w:rsidRDefault="00076C66">
            <w:pPr>
              <w:keepLines/>
              <w:numPr>
                <w:ilvl w:val="0"/>
                <w:numId w:val="2"/>
              </w:numPr>
              <w:spacing w:after="0" w:line="240" w:lineRule="auto"/>
              <w:ind w:firstLine="0"/>
              <w:jc w:val="both"/>
              <w:rPr>
                <w:rFonts w:ascii="Arial" w:eastAsia="Arial" w:hAnsi="Arial" w:cs="Arial"/>
                <w:sz w:val="20"/>
                <w:szCs w:val="20"/>
              </w:rPr>
            </w:pPr>
            <w:r>
              <w:rPr>
                <w:rFonts w:ascii="Arial" w:eastAsia="Arial" w:hAnsi="Arial" w:cs="Arial"/>
                <w:sz w:val="20"/>
                <w:szCs w:val="20"/>
              </w:rPr>
              <w:t>Vespasiano Corrêa.</w:t>
            </w:r>
          </w:p>
        </w:tc>
      </w:tr>
    </w:tbl>
    <w:p w14:paraId="00000060" w14:textId="77777777" w:rsidR="001B2587" w:rsidRDefault="001B2587">
      <w:pPr>
        <w:spacing w:after="0" w:line="360" w:lineRule="auto"/>
        <w:ind w:firstLine="720"/>
        <w:jc w:val="both"/>
        <w:rPr>
          <w:rFonts w:ascii="Arial" w:eastAsia="Arial" w:hAnsi="Arial" w:cs="Arial"/>
        </w:rPr>
      </w:pPr>
    </w:p>
    <w:p w14:paraId="00000061" w14:textId="77777777" w:rsidR="001B2587" w:rsidRDefault="00076C66">
      <w:pPr>
        <w:spacing w:after="0" w:line="360" w:lineRule="auto"/>
        <w:ind w:firstLine="720"/>
        <w:jc w:val="both"/>
        <w:rPr>
          <w:rFonts w:ascii="Arial" w:eastAsia="Arial" w:hAnsi="Arial" w:cs="Arial"/>
        </w:rPr>
      </w:pPr>
      <w:r>
        <w:rPr>
          <w:rFonts w:ascii="Arial" w:eastAsia="Arial" w:hAnsi="Arial" w:cs="Arial"/>
        </w:rPr>
        <w:t xml:space="preserve">A partir das respostas dos respondentes, foi possível analisar diversas dimensões importantes para o mapeamento do ecossistema regional de inovação. Uma delas refere-se às áreas portadoras de </w:t>
      </w:r>
      <w:r>
        <w:rPr>
          <w:rFonts w:ascii="Arial" w:eastAsia="Arial" w:hAnsi="Arial" w:cs="Arial"/>
        </w:rPr>
        <w:t xml:space="preserve">futuro de cada município, conforme apresentado na Tabela 2. </w:t>
      </w:r>
    </w:p>
    <w:p w14:paraId="00000062" w14:textId="77777777" w:rsidR="001B2587" w:rsidRDefault="001B2587">
      <w:pPr>
        <w:spacing w:after="0" w:line="360" w:lineRule="auto"/>
        <w:ind w:firstLine="720"/>
        <w:jc w:val="both"/>
        <w:rPr>
          <w:rFonts w:ascii="Arial" w:eastAsia="Arial" w:hAnsi="Arial" w:cs="Arial"/>
        </w:rPr>
      </w:pPr>
    </w:p>
    <w:p w14:paraId="00000063" w14:textId="77777777" w:rsidR="001B2587" w:rsidRDefault="00076C66">
      <w:pPr>
        <w:spacing w:after="0" w:line="360" w:lineRule="auto"/>
        <w:ind w:firstLine="720"/>
        <w:jc w:val="center"/>
        <w:rPr>
          <w:rFonts w:ascii="Arial" w:eastAsia="Arial" w:hAnsi="Arial" w:cs="Arial"/>
          <w:sz w:val="24"/>
          <w:szCs w:val="24"/>
        </w:rPr>
      </w:pPr>
      <w:r>
        <w:rPr>
          <w:rFonts w:ascii="Arial" w:eastAsia="Arial" w:hAnsi="Arial" w:cs="Arial"/>
          <w:b/>
          <w:sz w:val="20"/>
          <w:szCs w:val="20"/>
        </w:rPr>
        <w:t xml:space="preserve">Tabela 2 - Áreas portadoras de futuro do mapeamento do ERI </w:t>
      </w:r>
    </w:p>
    <w:tbl>
      <w:tblPr>
        <w:tblStyle w:val="a3"/>
        <w:tblW w:w="888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5250"/>
        <w:gridCol w:w="1995"/>
        <w:gridCol w:w="1635"/>
      </w:tblGrid>
      <w:tr w:rsidR="001B2587" w14:paraId="1EDA00A9" w14:textId="77777777" w:rsidTr="00076C66">
        <w:trPr>
          <w:trHeight w:val="290"/>
        </w:trPr>
        <w:tc>
          <w:tcPr>
            <w:tcW w:w="5250" w:type="dxa"/>
            <w:tcBorders>
              <w:top w:val="single" w:sz="8" w:space="0" w:color="7F7F7F"/>
              <w:left w:val="nil"/>
              <w:bottom w:val="single" w:sz="8" w:space="0" w:color="7F7F7F"/>
              <w:right w:val="nil"/>
            </w:tcBorders>
            <w:tcMar>
              <w:top w:w="100" w:type="dxa"/>
              <w:left w:w="100" w:type="dxa"/>
              <w:bottom w:w="100" w:type="dxa"/>
              <w:right w:w="100" w:type="dxa"/>
            </w:tcMar>
          </w:tcPr>
          <w:p w14:paraId="00000064" w14:textId="77777777" w:rsidR="001B2587" w:rsidRPr="00076C66" w:rsidRDefault="00076C66" w:rsidP="00076C66">
            <w:pPr>
              <w:spacing w:after="0" w:line="240" w:lineRule="auto"/>
              <w:jc w:val="both"/>
              <w:rPr>
                <w:rFonts w:ascii="Arial" w:eastAsia="Arial" w:hAnsi="Arial" w:cs="Arial"/>
                <w:b/>
                <w:sz w:val="20"/>
                <w:szCs w:val="20"/>
              </w:rPr>
            </w:pPr>
            <w:r w:rsidRPr="00076C66">
              <w:rPr>
                <w:rFonts w:ascii="Arial" w:eastAsia="Arial" w:hAnsi="Arial" w:cs="Arial"/>
                <w:b/>
                <w:sz w:val="20"/>
                <w:szCs w:val="20"/>
              </w:rPr>
              <w:t>Opção</w:t>
            </w:r>
          </w:p>
        </w:tc>
        <w:tc>
          <w:tcPr>
            <w:tcW w:w="1995" w:type="dxa"/>
            <w:tcBorders>
              <w:top w:val="single" w:sz="8" w:space="0" w:color="7F7F7F"/>
              <w:left w:val="nil"/>
              <w:bottom w:val="single" w:sz="8" w:space="0" w:color="7F7F7F"/>
              <w:right w:val="nil"/>
            </w:tcBorders>
            <w:tcMar>
              <w:top w:w="100" w:type="dxa"/>
              <w:left w:w="100" w:type="dxa"/>
              <w:bottom w:w="100" w:type="dxa"/>
              <w:right w:w="100" w:type="dxa"/>
            </w:tcMar>
          </w:tcPr>
          <w:p w14:paraId="00000065" w14:textId="77777777" w:rsidR="001B2587" w:rsidRPr="00076C66" w:rsidRDefault="00076C66" w:rsidP="00076C66">
            <w:pPr>
              <w:spacing w:after="0" w:line="240" w:lineRule="auto"/>
              <w:jc w:val="both"/>
              <w:rPr>
                <w:rFonts w:ascii="Arial" w:eastAsia="Arial" w:hAnsi="Arial" w:cs="Arial"/>
                <w:b/>
                <w:sz w:val="20"/>
                <w:szCs w:val="20"/>
              </w:rPr>
            </w:pPr>
            <w:r w:rsidRPr="00076C66">
              <w:rPr>
                <w:rFonts w:ascii="Arial" w:eastAsia="Arial" w:hAnsi="Arial" w:cs="Arial"/>
                <w:b/>
                <w:sz w:val="20"/>
                <w:szCs w:val="20"/>
              </w:rPr>
              <w:t>Porcentagem</w:t>
            </w:r>
          </w:p>
        </w:tc>
        <w:tc>
          <w:tcPr>
            <w:tcW w:w="1635" w:type="dxa"/>
            <w:tcBorders>
              <w:top w:val="single" w:sz="8" w:space="0" w:color="7F7F7F"/>
              <w:left w:val="nil"/>
              <w:bottom w:val="single" w:sz="8" w:space="0" w:color="7F7F7F"/>
              <w:right w:val="nil"/>
            </w:tcBorders>
            <w:tcMar>
              <w:top w:w="100" w:type="dxa"/>
              <w:left w:w="100" w:type="dxa"/>
              <w:bottom w:w="100" w:type="dxa"/>
              <w:right w:w="100" w:type="dxa"/>
            </w:tcMar>
          </w:tcPr>
          <w:p w14:paraId="00000066" w14:textId="77777777" w:rsidR="001B2587" w:rsidRPr="00076C66" w:rsidRDefault="00076C66" w:rsidP="00076C66">
            <w:pPr>
              <w:spacing w:after="0" w:line="240" w:lineRule="auto"/>
              <w:jc w:val="both"/>
              <w:rPr>
                <w:rFonts w:ascii="Arial" w:eastAsia="Arial" w:hAnsi="Arial" w:cs="Arial"/>
                <w:b/>
                <w:sz w:val="20"/>
                <w:szCs w:val="20"/>
              </w:rPr>
            </w:pPr>
            <w:r w:rsidRPr="00076C66">
              <w:rPr>
                <w:rFonts w:ascii="Arial" w:eastAsia="Arial" w:hAnsi="Arial" w:cs="Arial"/>
                <w:b/>
                <w:sz w:val="20"/>
                <w:szCs w:val="20"/>
              </w:rPr>
              <w:t>Contagem</w:t>
            </w:r>
          </w:p>
        </w:tc>
      </w:tr>
      <w:tr w:rsidR="001B2587" w14:paraId="2C58090B" w14:textId="77777777" w:rsidTr="00076C66">
        <w:trPr>
          <w:trHeight w:val="306"/>
        </w:trPr>
        <w:tc>
          <w:tcPr>
            <w:tcW w:w="5250" w:type="dxa"/>
            <w:tcBorders>
              <w:top w:val="nil"/>
              <w:left w:val="nil"/>
              <w:bottom w:val="nil"/>
              <w:right w:val="nil"/>
            </w:tcBorders>
            <w:tcMar>
              <w:top w:w="100" w:type="dxa"/>
              <w:left w:w="100" w:type="dxa"/>
              <w:bottom w:w="100" w:type="dxa"/>
              <w:right w:w="100" w:type="dxa"/>
            </w:tcMar>
          </w:tcPr>
          <w:p w14:paraId="00000067" w14:textId="77777777" w:rsidR="001B2587" w:rsidRPr="00076C66" w:rsidRDefault="00076C66" w:rsidP="00076C66">
            <w:pPr>
              <w:spacing w:after="0" w:line="240" w:lineRule="auto"/>
              <w:jc w:val="both"/>
              <w:rPr>
                <w:rFonts w:ascii="Arial" w:eastAsia="Arial" w:hAnsi="Arial" w:cs="Arial"/>
                <w:sz w:val="20"/>
                <w:szCs w:val="20"/>
              </w:rPr>
            </w:pPr>
            <w:r w:rsidRPr="00076C66">
              <w:rPr>
                <w:rFonts w:ascii="Arial" w:eastAsia="Arial" w:hAnsi="Arial" w:cs="Arial"/>
                <w:sz w:val="20"/>
                <w:szCs w:val="20"/>
              </w:rPr>
              <w:t>Tecnologias em Alimentos</w:t>
            </w:r>
          </w:p>
        </w:tc>
        <w:tc>
          <w:tcPr>
            <w:tcW w:w="1995" w:type="dxa"/>
            <w:tcBorders>
              <w:top w:val="nil"/>
              <w:left w:val="nil"/>
              <w:bottom w:val="nil"/>
              <w:right w:val="nil"/>
            </w:tcBorders>
            <w:tcMar>
              <w:top w:w="100" w:type="dxa"/>
              <w:left w:w="100" w:type="dxa"/>
              <w:bottom w:w="100" w:type="dxa"/>
              <w:right w:w="100" w:type="dxa"/>
            </w:tcMar>
          </w:tcPr>
          <w:p w14:paraId="00000068" w14:textId="77777777" w:rsidR="001B2587" w:rsidRPr="00076C66" w:rsidRDefault="00076C66" w:rsidP="00076C66">
            <w:pPr>
              <w:spacing w:after="0" w:line="240" w:lineRule="auto"/>
              <w:jc w:val="both"/>
              <w:rPr>
                <w:rFonts w:ascii="Arial" w:eastAsia="Arial" w:hAnsi="Arial" w:cs="Arial"/>
                <w:sz w:val="20"/>
                <w:szCs w:val="20"/>
              </w:rPr>
            </w:pPr>
            <w:r w:rsidRPr="00076C66">
              <w:rPr>
                <w:rFonts w:ascii="Arial" w:eastAsia="Arial" w:hAnsi="Arial" w:cs="Arial"/>
                <w:sz w:val="20"/>
                <w:szCs w:val="20"/>
              </w:rPr>
              <w:t>16,17%</w:t>
            </w:r>
          </w:p>
        </w:tc>
        <w:tc>
          <w:tcPr>
            <w:tcW w:w="1635" w:type="dxa"/>
            <w:tcBorders>
              <w:top w:val="nil"/>
              <w:left w:val="nil"/>
              <w:bottom w:val="nil"/>
              <w:right w:val="nil"/>
            </w:tcBorders>
            <w:tcMar>
              <w:top w:w="100" w:type="dxa"/>
              <w:left w:w="100" w:type="dxa"/>
              <w:bottom w:w="100" w:type="dxa"/>
              <w:right w:w="100" w:type="dxa"/>
            </w:tcMar>
          </w:tcPr>
          <w:p w14:paraId="00000069" w14:textId="77777777" w:rsidR="001B2587" w:rsidRPr="00076C66" w:rsidRDefault="00076C66" w:rsidP="00076C66">
            <w:pPr>
              <w:spacing w:after="0" w:line="240" w:lineRule="auto"/>
              <w:jc w:val="both"/>
              <w:rPr>
                <w:rFonts w:ascii="Arial" w:eastAsia="Arial" w:hAnsi="Arial" w:cs="Arial"/>
                <w:sz w:val="20"/>
                <w:szCs w:val="20"/>
              </w:rPr>
            </w:pPr>
            <w:r w:rsidRPr="00076C66">
              <w:rPr>
                <w:rFonts w:ascii="Arial" w:eastAsia="Arial" w:hAnsi="Arial" w:cs="Arial"/>
                <w:sz w:val="20"/>
                <w:szCs w:val="20"/>
              </w:rPr>
              <w:t>39</w:t>
            </w:r>
          </w:p>
        </w:tc>
      </w:tr>
      <w:tr w:rsidR="001B2587" w14:paraId="485FC6EF" w14:textId="77777777" w:rsidTr="00076C66">
        <w:trPr>
          <w:trHeight w:val="25"/>
        </w:trPr>
        <w:tc>
          <w:tcPr>
            <w:tcW w:w="5250" w:type="dxa"/>
            <w:tcBorders>
              <w:top w:val="nil"/>
              <w:left w:val="nil"/>
              <w:bottom w:val="nil"/>
              <w:right w:val="nil"/>
            </w:tcBorders>
            <w:tcMar>
              <w:top w:w="100" w:type="dxa"/>
              <w:left w:w="100" w:type="dxa"/>
              <w:bottom w:w="100" w:type="dxa"/>
              <w:right w:w="100" w:type="dxa"/>
            </w:tcMar>
          </w:tcPr>
          <w:p w14:paraId="0000006A" w14:textId="77777777" w:rsidR="001B2587" w:rsidRPr="00076C66" w:rsidRDefault="00076C66" w:rsidP="00076C66">
            <w:pPr>
              <w:spacing w:after="0" w:line="240" w:lineRule="auto"/>
              <w:jc w:val="both"/>
              <w:rPr>
                <w:rFonts w:ascii="Arial" w:eastAsia="Arial" w:hAnsi="Arial" w:cs="Arial"/>
                <w:sz w:val="20"/>
                <w:szCs w:val="20"/>
              </w:rPr>
            </w:pPr>
            <w:r w:rsidRPr="00076C66">
              <w:rPr>
                <w:rFonts w:ascii="Arial" w:eastAsia="Arial" w:hAnsi="Arial" w:cs="Arial"/>
                <w:sz w:val="20"/>
                <w:szCs w:val="20"/>
              </w:rPr>
              <w:t>Tecnologias em Turismo</w:t>
            </w:r>
          </w:p>
        </w:tc>
        <w:tc>
          <w:tcPr>
            <w:tcW w:w="1995" w:type="dxa"/>
            <w:tcBorders>
              <w:top w:val="nil"/>
              <w:left w:val="nil"/>
              <w:bottom w:val="nil"/>
              <w:right w:val="nil"/>
            </w:tcBorders>
            <w:tcMar>
              <w:top w:w="100" w:type="dxa"/>
              <w:left w:w="100" w:type="dxa"/>
              <w:bottom w:w="100" w:type="dxa"/>
              <w:right w:w="100" w:type="dxa"/>
            </w:tcMar>
          </w:tcPr>
          <w:p w14:paraId="0000006B" w14:textId="77777777" w:rsidR="001B2587" w:rsidRPr="00076C66" w:rsidRDefault="00076C66" w:rsidP="00076C66">
            <w:pPr>
              <w:spacing w:after="0" w:line="240" w:lineRule="auto"/>
              <w:jc w:val="both"/>
              <w:rPr>
                <w:rFonts w:ascii="Arial" w:eastAsia="Arial" w:hAnsi="Arial" w:cs="Arial"/>
                <w:sz w:val="20"/>
                <w:szCs w:val="20"/>
              </w:rPr>
            </w:pPr>
            <w:r w:rsidRPr="00076C66">
              <w:rPr>
                <w:rFonts w:ascii="Arial" w:eastAsia="Arial" w:hAnsi="Arial" w:cs="Arial"/>
                <w:sz w:val="20"/>
                <w:szCs w:val="20"/>
              </w:rPr>
              <w:t>16,17%</w:t>
            </w:r>
          </w:p>
        </w:tc>
        <w:tc>
          <w:tcPr>
            <w:tcW w:w="1635" w:type="dxa"/>
            <w:tcBorders>
              <w:top w:val="nil"/>
              <w:left w:val="nil"/>
              <w:bottom w:val="nil"/>
              <w:right w:val="nil"/>
            </w:tcBorders>
            <w:tcMar>
              <w:top w:w="100" w:type="dxa"/>
              <w:left w:w="100" w:type="dxa"/>
              <w:bottom w:w="100" w:type="dxa"/>
              <w:right w:w="100" w:type="dxa"/>
            </w:tcMar>
          </w:tcPr>
          <w:p w14:paraId="0000006C" w14:textId="77777777" w:rsidR="001B2587" w:rsidRPr="00076C66" w:rsidRDefault="00076C66" w:rsidP="00076C66">
            <w:pPr>
              <w:spacing w:after="0" w:line="240" w:lineRule="auto"/>
              <w:jc w:val="both"/>
              <w:rPr>
                <w:rFonts w:ascii="Arial" w:eastAsia="Arial" w:hAnsi="Arial" w:cs="Arial"/>
                <w:sz w:val="20"/>
                <w:szCs w:val="20"/>
              </w:rPr>
            </w:pPr>
            <w:r w:rsidRPr="00076C66">
              <w:rPr>
                <w:rFonts w:ascii="Arial" w:eastAsia="Arial" w:hAnsi="Arial" w:cs="Arial"/>
                <w:sz w:val="20"/>
                <w:szCs w:val="20"/>
              </w:rPr>
              <w:t>39</w:t>
            </w:r>
          </w:p>
        </w:tc>
      </w:tr>
      <w:tr w:rsidR="001B2587" w14:paraId="1D5F93CC" w14:textId="77777777" w:rsidTr="00076C66">
        <w:trPr>
          <w:trHeight w:val="25"/>
        </w:trPr>
        <w:tc>
          <w:tcPr>
            <w:tcW w:w="5250" w:type="dxa"/>
            <w:tcBorders>
              <w:top w:val="nil"/>
              <w:left w:val="nil"/>
              <w:bottom w:val="nil"/>
              <w:right w:val="nil"/>
            </w:tcBorders>
            <w:tcMar>
              <w:top w:w="100" w:type="dxa"/>
              <w:left w:w="100" w:type="dxa"/>
              <w:bottom w:w="100" w:type="dxa"/>
              <w:right w:w="100" w:type="dxa"/>
            </w:tcMar>
          </w:tcPr>
          <w:p w14:paraId="0000006D" w14:textId="77777777" w:rsidR="001B2587" w:rsidRPr="00076C66" w:rsidRDefault="00076C66" w:rsidP="00076C66">
            <w:pPr>
              <w:spacing w:after="0" w:line="240" w:lineRule="auto"/>
              <w:jc w:val="both"/>
              <w:rPr>
                <w:rFonts w:ascii="Arial" w:eastAsia="Arial" w:hAnsi="Arial" w:cs="Arial"/>
                <w:sz w:val="20"/>
                <w:szCs w:val="20"/>
              </w:rPr>
            </w:pPr>
            <w:r w:rsidRPr="00076C66">
              <w:rPr>
                <w:rFonts w:ascii="Arial" w:eastAsia="Arial" w:hAnsi="Arial" w:cs="Arial"/>
                <w:sz w:val="20"/>
                <w:szCs w:val="20"/>
              </w:rPr>
              <w:t>Tecnologias em Saúde</w:t>
            </w:r>
          </w:p>
        </w:tc>
        <w:tc>
          <w:tcPr>
            <w:tcW w:w="1995" w:type="dxa"/>
            <w:tcBorders>
              <w:top w:val="nil"/>
              <w:left w:val="nil"/>
              <w:bottom w:val="nil"/>
              <w:right w:val="nil"/>
            </w:tcBorders>
            <w:tcMar>
              <w:top w:w="100" w:type="dxa"/>
              <w:left w:w="100" w:type="dxa"/>
              <w:bottom w:w="100" w:type="dxa"/>
              <w:right w:w="100" w:type="dxa"/>
            </w:tcMar>
          </w:tcPr>
          <w:p w14:paraId="0000006E" w14:textId="77777777" w:rsidR="001B2587" w:rsidRPr="00076C66" w:rsidRDefault="00076C66" w:rsidP="00076C66">
            <w:pPr>
              <w:spacing w:after="0" w:line="240" w:lineRule="auto"/>
              <w:jc w:val="both"/>
              <w:rPr>
                <w:rFonts w:ascii="Arial" w:eastAsia="Arial" w:hAnsi="Arial" w:cs="Arial"/>
                <w:sz w:val="20"/>
                <w:szCs w:val="20"/>
              </w:rPr>
            </w:pPr>
            <w:r w:rsidRPr="00076C66">
              <w:rPr>
                <w:rFonts w:ascii="Arial" w:eastAsia="Arial" w:hAnsi="Arial" w:cs="Arial"/>
                <w:sz w:val="20"/>
                <w:szCs w:val="20"/>
              </w:rPr>
              <w:t>8,61%</w:t>
            </w:r>
          </w:p>
        </w:tc>
        <w:tc>
          <w:tcPr>
            <w:tcW w:w="1635" w:type="dxa"/>
            <w:tcBorders>
              <w:top w:val="nil"/>
              <w:left w:val="nil"/>
              <w:bottom w:val="nil"/>
              <w:right w:val="nil"/>
            </w:tcBorders>
            <w:tcMar>
              <w:top w:w="100" w:type="dxa"/>
              <w:left w:w="100" w:type="dxa"/>
              <w:bottom w:w="100" w:type="dxa"/>
              <w:right w:w="100" w:type="dxa"/>
            </w:tcMar>
          </w:tcPr>
          <w:p w14:paraId="0000006F" w14:textId="77777777" w:rsidR="001B2587" w:rsidRPr="00076C66" w:rsidRDefault="00076C66" w:rsidP="00076C66">
            <w:pPr>
              <w:spacing w:after="0" w:line="240" w:lineRule="auto"/>
              <w:jc w:val="both"/>
              <w:rPr>
                <w:rFonts w:ascii="Arial" w:eastAsia="Arial" w:hAnsi="Arial" w:cs="Arial"/>
                <w:sz w:val="20"/>
                <w:szCs w:val="20"/>
              </w:rPr>
            </w:pPr>
            <w:r w:rsidRPr="00076C66">
              <w:rPr>
                <w:rFonts w:ascii="Arial" w:eastAsia="Arial" w:hAnsi="Arial" w:cs="Arial"/>
                <w:sz w:val="20"/>
                <w:szCs w:val="20"/>
              </w:rPr>
              <w:t>20</w:t>
            </w:r>
          </w:p>
        </w:tc>
      </w:tr>
      <w:tr w:rsidR="001B2587" w14:paraId="76B5ABD5" w14:textId="77777777" w:rsidTr="00076C66">
        <w:trPr>
          <w:trHeight w:val="25"/>
        </w:trPr>
        <w:tc>
          <w:tcPr>
            <w:tcW w:w="5250" w:type="dxa"/>
            <w:tcBorders>
              <w:top w:val="nil"/>
              <w:left w:val="nil"/>
              <w:bottom w:val="nil"/>
              <w:right w:val="nil"/>
            </w:tcBorders>
            <w:tcMar>
              <w:top w:w="100" w:type="dxa"/>
              <w:left w:w="100" w:type="dxa"/>
              <w:bottom w:w="100" w:type="dxa"/>
              <w:right w:w="100" w:type="dxa"/>
            </w:tcMar>
          </w:tcPr>
          <w:p w14:paraId="00000070" w14:textId="77777777" w:rsidR="001B2587" w:rsidRPr="00076C66" w:rsidRDefault="00076C66" w:rsidP="00076C66">
            <w:pPr>
              <w:spacing w:after="0" w:line="240" w:lineRule="auto"/>
              <w:jc w:val="both"/>
              <w:rPr>
                <w:rFonts w:ascii="Arial" w:eastAsia="Arial" w:hAnsi="Arial" w:cs="Arial"/>
                <w:sz w:val="20"/>
                <w:szCs w:val="20"/>
              </w:rPr>
            </w:pPr>
            <w:r w:rsidRPr="00076C66">
              <w:rPr>
                <w:rFonts w:ascii="Arial" w:eastAsia="Arial" w:hAnsi="Arial" w:cs="Arial"/>
                <w:sz w:val="20"/>
                <w:szCs w:val="20"/>
              </w:rPr>
              <w:t>Tecnologias em Informação e Automação</w:t>
            </w:r>
          </w:p>
        </w:tc>
        <w:tc>
          <w:tcPr>
            <w:tcW w:w="1995" w:type="dxa"/>
            <w:tcBorders>
              <w:top w:val="nil"/>
              <w:left w:val="nil"/>
              <w:bottom w:val="nil"/>
              <w:right w:val="nil"/>
            </w:tcBorders>
            <w:tcMar>
              <w:top w:w="100" w:type="dxa"/>
              <w:left w:w="100" w:type="dxa"/>
              <w:bottom w:w="100" w:type="dxa"/>
              <w:right w:w="100" w:type="dxa"/>
            </w:tcMar>
          </w:tcPr>
          <w:p w14:paraId="00000071" w14:textId="77777777" w:rsidR="001B2587" w:rsidRPr="00076C66" w:rsidRDefault="00076C66" w:rsidP="00076C66">
            <w:pPr>
              <w:spacing w:after="0" w:line="240" w:lineRule="auto"/>
              <w:jc w:val="both"/>
              <w:rPr>
                <w:rFonts w:ascii="Arial" w:eastAsia="Arial" w:hAnsi="Arial" w:cs="Arial"/>
                <w:sz w:val="20"/>
                <w:szCs w:val="20"/>
              </w:rPr>
            </w:pPr>
            <w:r w:rsidRPr="00076C66">
              <w:rPr>
                <w:rFonts w:ascii="Arial" w:eastAsia="Arial" w:hAnsi="Arial" w:cs="Arial"/>
                <w:sz w:val="20"/>
                <w:szCs w:val="20"/>
              </w:rPr>
              <w:t>5,11%</w:t>
            </w:r>
          </w:p>
        </w:tc>
        <w:tc>
          <w:tcPr>
            <w:tcW w:w="1635" w:type="dxa"/>
            <w:tcBorders>
              <w:top w:val="nil"/>
              <w:left w:val="nil"/>
              <w:bottom w:val="nil"/>
              <w:right w:val="nil"/>
            </w:tcBorders>
            <w:tcMar>
              <w:top w:w="100" w:type="dxa"/>
              <w:left w:w="100" w:type="dxa"/>
              <w:bottom w:w="100" w:type="dxa"/>
              <w:right w:w="100" w:type="dxa"/>
            </w:tcMar>
          </w:tcPr>
          <w:p w14:paraId="00000072" w14:textId="77777777" w:rsidR="001B2587" w:rsidRPr="00076C66" w:rsidRDefault="00076C66" w:rsidP="00076C66">
            <w:pPr>
              <w:spacing w:after="0" w:line="240" w:lineRule="auto"/>
              <w:jc w:val="both"/>
              <w:rPr>
                <w:rFonts w:ascii="Arial" w:eastAsia="Arial" w:hAnsi="Arial" w:cs="Arial"/>
                <w:sz w:val="20"/>
                <w:szCs w:val="20"/>
              </w:rPr>
            </w:pPr>
            <w:r w:rsidRPr="00076C66">
              <w:rPr>
                <w:rFonts w:ascii="Arial" w:eastAsia="Arial" w:hAnsi="Arial" w:cs="Arial"/>
                <w:sz w:val="20"/>
                <w:szCs w:val="20"/>
              </w:rPr>
              <w:t>12</w:t>
            </w:r>
          </w:p>
        </w:tc>
      </w:tr>
      <w:tr w:rsidR="001B2587" w14:paraId="328E0975" w14:textId="77777777" w:rsidTr="00076C66">
        <w:trPr>
          <w:trHeight w:val="25"/>
        </w:trPr>
        <w:tc>
          <w:tcPr>
            <w:tcW w:w="5250" w:type="dxa"/>
            <w:tcBorders>
              <w:top w:val="nil"/>
              <w:left w:val="nil"/>
              <w:bottom w:val="nil"/>
              <w:right w:val="nil"/>
            </w:tcBorders>
            <w:tcMar>
              <w:top w:w="100" w:type="dxa"/>
              <w:left w:w="100" w:type="dxa"/>
              <w:bottom w:w="100" w:type="dxa"/>
              <w:right w:w="100" w:type="dxa"/>
            </w:tcMar>
          </w:tcPr>
          <w:p w14:paraId="00000073" w14:textId="77777777" w:rsidR="001B2587" w:rsidRPr="00076C66" w:rsidRDefault="00076C66" w:rsidP="00076C66">
            <w:pPr>
              <w:spacing w:after="0" w:line="240" w:lineRule="auto"/>
              <w:jc w:val="both"/>
              <w:rPr>
                <w:rFonts w:ascii="Arial" w:eastAsia="Arial" w:hAnsi="Arial" w:cs="Arial"/>
                <w:sz w:val="20"/>
                <w:szCs w:val="20"/>
              </w:rPr>
            </w:pPr>
            <w:r w:rsidRPr="00076C66">
              <w:rPr>
                <w:rFonts w:ascii="Arial" w:eastAsia="Arial" w:hAnsi="Arial" w:cs="Arial"/>
                <w:sz w:val="20"/>
                <w:szCs w:val="20"/>
              </w:rPr>
              <w:t>Tecnologias em Confecção Têxtil e Calçados</w:t>
            </w:r>
          </w:p>
        </w:tc>
        <w:tc>
          <w:tcPr>
            <w:tcW w:w="1995" w:type="dxa"/>
            <w:tcBorders>
              <w:top w:val="nil"/>
              <w:left w:val="nil"/>
              <w:bottom w:val="nil"/>
              <w:right w:val="nil"/>
            </w:tcBorders>
            <w:tcMar>
              <w:top w:w="100" w:type="dxa"/>
              <w:left w:w="100" w:type="dxa"/>
              <w:bottom w:w="100" w:type="dxa"/>
              <w:right w:w="100" w:type="dxa"/>
            </w:tcMar>
          </w:tcPr>
          <w:p w14:paraId="00000074" w14:textId="77777777" w:rsidR="001B2587" w:rsidRPr="00076C66" w:rsidRDefault="00076C66" w:rsidP="00076C66">
            <w:pPr>
              <w:spacing w:after="0" w:line="240" w:lineRule="auto"/>
              <w:jc w:val="both"/>
              <w:rPr>
                <w:rFonts w:ascii="Arial" w:eastAsia="Arial" w:hAnsi="Arial" w:cs="Arial"/>
                <w:sz w:val="20"/>
                <w:szCs w:val="20"/>
              </w:rPr>
            </w:pPr>
            <w:r w:rsidRPr="00076C66">
              <w:rPr>
                <w:rFonts w:ascii="Arial" w:eastAsia="Arial" w:hAnsi="Arial" w:cs="Arial"/>
                <w:sz w:val="20"/>
                <w:szCs w:val="20"/>
              </w:rPr>
              <w:t>6,81%</w:t>
            </w:r>
          </w:p>
        </w:tc>
        <w:tc>
          <w:tcPr>
            <w:tcW w:w="1635" w:type="dxa"/>
            <w:tcBorders>
              <w:top w:val="nil"/>
              <w:left w:val="nil"/>
              <w:bottom w:val="nil"/>
              <w:right w:val="nil"/>
            </w:tcBorders>
            <w:tcMar>
              <w:top w:w="100" w:type="dxa"/>
              <w:left w:w="100" w:type="dxa"/>
              <w:bottom w:w="100" w:type="dxa"/>
              <w:right w:w="100" w:type="dxa"/>
            </w:tcMar>
          </w:tcPr>
          <w:p w14:paraId="00000075" w14:textId="77777777" w:rsidR="001B2587" w:rsidRPr="00076C66" w:rsidRDefault="00076C66" w:rsidP="00076C66">
            <w:pPr>
              <w:spacing w:after="0" w:line="240" w:lineRule="auto"/>
              <w:jc w:val="both"/>
              <w:rPr>
                <w:rFonts w:ascii="Arial" w:eastAsia="Arial" w:hAnsi="Arial" w:cs="Arial"/>
                <w:sz w:val="20"/>
                <w:szCs w:val="20"/>
              </w:rPr>
            </w:pPr>
            <w:r w:rsidRPr="00076C66">
              <w:rPr>
                <w:rFonts w:ascii="Arial" w:eastAsia="Arial" w:hAnsi="Arial" w:cs="Arial"/>
                <w:sz w:val="20"/>
                <w:szCs w:val="20"/>
              </w:rPr>
              <w:t>16</w:t>
            </w:r>
          </w:p>
        </w:tc>
      </w:tr>
      <w:tr w:rsidR="001B2587" w14:paraId="0E0DA9BE" w14:textId="77777777" w:rsidTr="00076C66">
        <w:trPr>
          <w:trHeight w:val="25"/>
        </w:trPr>
        <w:tc>
          <w:tcPr>
            <w:tcW w:w="5250" w:type="dxa"/>
            <w:tcBorders>
              <w:top w:val="nil"/>
              <w:left w:val="nil"/>
              <w:bottom w:val="nil"/>
              <w:right w:val="nil"/>
            </w:tcBorders>
            <w:tcMar>
              <w:top w:w="100" w:type="dxa"/>
              <w:left w:w="100" w:type="dxa"/>
              <w:bottom w:w="100" w:type="dxa"/>
              <w:right w:w="100" w:type="dxa"/>
            </w:tcMar>
          </w:tcPr>
          <w:p w14:paraId="00000076" w14:textId="77777777" w:rsidR="001B2587" w:rsidRPr="00076C66" w:rsidRDefault="00076C66" w:rsidP="00076C66">
            <w:pPr>
              <w:spacing w:after="0" w:line="240" w:lineRule="auto"/>
              <w:jc w:val="both"/>
              <w:rPr>
                <w:rFonts w:ascii="Arial" w:eastAsia="Arial" w:hAnsi="Arial" w:cs="Arial"/>
                <w:sz w:val="20"/>
                <w:szCs w:val="20"/>
              </w:rPr>
            </w:pPr>
            <w:r w:rsidRPr="00076C66">
              <w:rPr>
                <w:rFonts w:ascii="Arial" w:eastAsia="Arial" w:hAnsi="Arial" w:cs="Arial"/>
                <w:sz w:val="20"/>
                <w:szCs w:val="20"/>
              </w:rPr>
              <w:t>Tecnologias em Construção</w:t>
            </w:r>
          </w:p>
        </w:tc>
        <w:tc>
          <w:tcPr>
            <w:tcW w:w="1995" w:type="dxa"/>
            <w:tcBorders>
              <w:top w:val="nil"/>
              <w:left w:val="nil"/>
              <w:bottom w:val="nil"/>
              <w:right w:val="nil"/>
            </w:tcBorders>
            <w:tcMar>
              <w:top w:w="100" w:type="dxa"/>
              <w:left w:w="100" w:type="dxa"/>
              <w:bottom w:w="100" w:type="dxa"/>
              <w:right w:w="100" w:type="dxa"/>
            </w:tcMar>
          </w:tcPr>
          <w:p w14:paraId="00000077" w14:textId="77777777" w:rsidR="001B2587" w:rsidRPr="00076C66" w:rsidRDefault="00076C66" w:rsidP="00076C66">
            <w:pPr>
              <w:spacing w:after="0" w:line="240" w:lineRule="auto"/>
              <w:jc w:val="both"/>
              <w:rPr>
                <w:rFonts w:ascii="Arial" w:eastAsia="Arial" w:hAnsi="Arial" w:cs="Arial"/>
                <w:sz w:val="20"/>
                <w:szCs w:val="20"/>
              </w:rPr>
            </w:pPr>
            <w:r w:rsidRPr="00076C66">
              <w:rPr>
                <w:rFonts w:ascii="Arial" w:eastAsia="Arial" w:hAnsi="Arial" w:cs="Arial"/>
                <w:sz w:val="20"/>
                <w:szCs w:val="20"/>
              </w:rPr>
              <w:t>5,11%</w:t>
            </w:r>
          </w:p>
        </w:tc>
        <w:tc>
          <w:tcPr>
            <w:tcW w:w="1635" w:type="dxa"/>
            <w:tcBorders>
              <w:top w:val="nil"/>
              <w:left w:val="nil"/>
              <w:bottom w:val="nil"/>
              <w:right w:val="nil"/>
            </w:tcBorders>
            <w:tcMar>
              <w:top w:w="100" w:type="dxa"/>
              <w:left w:w="100" w:type="dxa"/>
              <w:bottom w:w="100" w:type="dxa"/>
              <w:right w:w="100" w:type="dxa"/>
            </w:tcMar>
          </w:tcPr>
          <w:p w14:paraId="00000078" w14:textId="77777777" w:rsidR="001B2587" w:rsidRPr="00076C66" w:rsidRDefault="00076C66" w:rsidP="00076C66">
            <w:pPr>
              <w:spacing w:after="0" w:line="240" w:lineRule="auto"/>
              <w:jc w:val="both"/>
              <w:rPr>
                <w:rFonts w:ascii="Arial" w:eastAsia="Arial" w:hAnsi="Arial" w:cs="Arial"/>
                <w:sz w:val="20"/>
                <w:szCs w:val="20"/>
              </w:rPr>
            </w:pPr>
            <w:r w:rsidRPr="00076C66">
              <w:rPr>
                <w:rFonts w:ascii="Arial" w:eastAsia="Arial" w:hAnsi="Arial" w:cs="Arial"/>
                <w:sz w:val="20"/>
                <w:szCs w:val="20"/>
              </w:rPr>
              <w:t>12</w:t>
            </w:r>
          </w:p>
        </w:tc>
      </w:tr>
      <w:tr w:rsidR="001B2587" w14:paraId="3D35A881" w14:textId="77777777" w:rsidTr="00076C66">
        <w:trPr>
          <w:trHeight w:val="25"/>
        </w:trPr>
        <w:tc>
          <w:tcPr>
            <w:tcW w:w="5250" w:type="dxa"/>
            <w:tcBorders>
              <w:top w:val="nil"/>
              <w:left w:val="nil"/>
              <w:bottom w:val="nil"/>
              <w:right w:val="nil"/>
            </w:tcBorders>
            <w:tcMar>
              <w:top w:w="100" w:type="dxa"/>
              <w:left w:w="100" w:type="dxa"/>
              <w:bottom w:w="100" w:type="dxa"/>
              <w:right w:w="100" w:type="dxa"/>
            </w:tcMar>
          </w:tcPr>
          <w:p w14:paraId="00000079" w14:textId="77777777" w:rsidR="001B2587" w:rsidRPr="00076C66" w:rsidRDefault="00076C66" w:rsidP="00076C66">
            <w:pPr>
              <w:spacing w:after="0" w:line="240" w:lineRule="auto"/>
              <w:jc w:val="both"/>
              <w:rPr>
                <w:rFonts w:ascii="Arial" w:eastAsia="Arial" w:hAnsi="Arial" w:cs="Arial"/>
                <w:sz w:val="20"/>
                <w:szCs w:val="20"/>
              </w:rPr>
            </w:pPr>
            <w:r w:rsidRPr="00076C66">
              <w:rPr>
                <w:rFonts w:ascii="Arial" w:eastAsia="Arial" w:hAnsi="Arial" w:cs="Arial"/>
                <w:sz w:val="20"/>
                <w:szCs w:val="20"/>
              </w:rPr>
              <w:t>Tecnologia em Economia Criativa</w:t>
            </w:r>
          </w:p>
        </w:tc>
        <w:tc>
          <w:tcPr>
            <w:tcW w:w="1995" w:type="dxa"/>
            <w:tcBorders>
              <w:top w:val="nil"/>
              <w:left w:val="nil"/>
              <w:bottom w:val="nil"/>
              <w:right w:val="nil"/>
            </w:tcBorders>
            <w:tcMar>
              <w:top w:w="100" w:type="dxa"/>
              <w:left w:w="100" w:type="dxa"/>
              <w:bottom w:w="100" w:type="dxa"/>
              <w:right w:w="100" w:type="dxa"/>
            </w:tcMar>
          </w:tcPr>
          <w:p w14:paraId="0000007A" w14:textId="77777777" w:rsidR="001B2587" w:rsidRPr="00076C66" w:rsidRDefault="00076C66" w:rsidP="00076C66">
            <w:pPr>
              <w:spacing w:after="0" w:line="240" w:lineRule="auto"/>
              <w:jc w:val="both"/>
              <w:rPr>
                <w:rFonts w:ascii="Arial" w:eastAsia="Arial" w:hAnsi="Arial" w:cs="Arial"/>
                <w:sz w:val="20"/>
                <w:szCs w:val="20"/>
              </w:rPr>
            </w:pPr>
            <w:r w:rsidRPr="00076C66">
              <w:rPr>
                <w:rFonts w:ascii="Arial" w:eastAsia="Arial" w:hAnsi="Arial" w:cs="Arial"/>
                <w:sz w:val="20"/>
                <w:szCs w:val="20"/>
              </w:rPr>
              <w:t>7,23%</w:t>
            </w:r>
          </w:p>
        </w:tc>
        <w:tc>
          <w:tcPr>
            <w:tcW w:w="1635" w:type="dxa"/>
            <w:tcBorders>
              <w:top w:val="nil"/>
              <w:left w:val="nil"/>
              <w:bottom w:val="nil"/>
              <w:right w:val="nil"/>
            </w:tcBorders>
            <w:tcMar>
              <w:top w:w="100" w:type="dxa"/>
              <w:left w:w="100" w:type="dxa"/>
              <w:bottom w:w="100" w:type="dxa"/>
              <w:right w:w="100" w:type="dxa"/>
            </w:tcMar>
          </w:tcPr>
          <w:p w14:paraId="0000007B" w14:textId="77777777" w:rsidR="001B2587" w:rsidRPr="00076C66" w:rsidRDefault="00076C66" w:rsidP="00076C66">
            <w:pPr>
              <w:spacing w:after="0" w:line="240" w:lineRule="auto"/>
              <w:jc w:val="both"/>
              <w:rPr>
                <w:rFonts w:ascii="Arial" w:eastAsia="Arial" w:hAnsi="Arial" w:cs="Arial"/>
                <w:sz w:val="20"/>
                <w:szCs w:val="20"/>
              </w:rPr>
            </w:pPr>
            <w:r w:rsidRPr="00076C66">
              <w:rPr>
                <w:rFonts w:ascii="Arial" w:eastAsia="Arial" w:hAnsi="Arial" w:cs="Arial"/>
                <w:sz w:val="20"/>
                <w:szCs w:val="20"/>
              </w:rPr>
              <w:t>17</w:t>
            </w:r>
          </w:p>
        </w:tc>
      </w:tr>
      <w:tr w:rsidR="001B2587" w14:paraId="4E8E2578" w14:textId="77777777" w:rsidTr="00076C66">
        <w:trPr>
          <w:trHeight w:val="25"/>
        </w:trPr>
        <w:tc>
          <w:tcPr>
            <w:tcW w:w="5250" w:type="dxa"/>
            <w:tcBorders>
              <w:top w:val="nil"/>
              <w:left w:val="nil"/>
              <w:bottom w:val="nil"/>
              <w:right w:val="nil"/>
            </w:tcBorders>
            <w:tcMar>
              <w:top w:w="100" w:type="dxa"/>
              <w:left w:w="100" w:type="dxa"/>
              <w:bottom w:w="100" w:type="dxa"/>
              <w:right w:w="100" w:type="dxa"/>
            </w:tcMar>
          </w:tcPr>
          <w:p w14:paraId="0000007C" w14:textId="77777777" w:rsidR="001B2587" w:rsidRPr="00076C66" w:rsidRDefault="00076C66" w:rsidP="00076C66">
            <w:pPr>
              <w:spacing w:after="0" w:line="240" w:lineRule="auto"/>
              <w:jc w:val="both"/>
              <w:rPr>
                <w:rFonts w:ascii="Arial" w:eastAsia="Arial" w:hAnsi="Arial" w:cs="Arial"/>
                <w:sz w:val="20"/>
                <w:szCs w:val="20"/>
              </w:rPr>
            </w:pPr>
            <w:r w:rsidRPr="00076C66">
              <w:rPr>
                <w:rFonts w:ascii="Arial" w:eastAsia="Arial" w:hAnsi="Arial" w:cs="Arial"/>
                <w:sz w:val="20"/>
                <w:szCs w:val="20"/>
              </w:rPr>
              <w:t>Tecnologias em Madeira e Móveis</w:t>
            </w:r>
          </w:p>
        </w:tc>
        <w:tc>
          <w:tcPr>
            <w:tcW w:w="1995" w:type="dxa"/>
            <w:tcBorders>
              <w:top w:val="nil"/>
              <w:left w:val="nil"/>
              <w:bottom w:val="nil"/>
              <w:right w:val="nil"/>
            </w:tcBorders>
            <w:tcMar>
              <w:top w:w="100" w:type="dxa"/>
              <w:left w:w="100" w:type="dxa"/>
              <w:bottom w:w="100" w:type="dxa"/>
              <w:right w:w="100" w:type="dxa"/>
            </w:tcMar>
          </w:tcPr>
          <w:p w14:paraId="0000007D" w14:textId="77777777" w:rsidR="001B2587" w:rsidRPr="00076C66" w:rsidRDefault="00076C66" w:rsidP="00076C66">
            <w:pPr>
              <w:spacing w:after="0" w:line="240" w:lineRule="auto"/>
              <w:jc w:val="both"/>
              <w:rPr>
                <w:rFonts w:ascii="Arial" w:eastAsia="Arial" w:hAnsi="Arial" w:cs="Arial"/>
                <w:sz w:val="20"/>
                <w:szCs w:val="20"/>
              </w:rPr>
            </w:pPr>
            <w:r w:rsidRPr="00076C66">
              <w:rPr>
                <w:rFonts w:ascii="Arial" w:eastAsia="Arial" w:hAnsi="Arial" w:cs="Arial"/>
                <w:sz w:val="20"/>
                <w:szCs w:val="20"/>
              </w:rPr>
              <w:t>9,36%</w:t>
            </w:r>
          </w:p>
        </w:tc>
        <w:tc>
          <w:tcPr>
            <w:tcW w:w="1635" w:type="dxa"/>
            <w:tcBorders>
              <w:top w:val="nil"/>
              <w:left w:val="nil"/>
              <w:bottom w:val="nil"/>
              <w:right w:val="nil"/>
            </w:tcBorders>
            <w:tcMar>
              <w:top w:w="100" w:type="dxa"/>
              <w:left w:w="100" w:type="dxa"/>
              <w:bottom w:w="100" w:type="dxa"/>
              <w:right w:w="100" w:type="dxa"/>
            </w:tcMar>
          </w:tcPr>
          <w:p w14:paraId="0000007E" w14:textId="77777777" w:rsidR="001B2587" w:rsidRPr="00076C66" w:rsidRDefault="00076C66" w:rsidP="00076C66">
            <w:pPr>
              <w:spacing w:after="0" w:line="240" w:lineRule="auto"/>
              <w:jc w:val="both"/>
              <w:rPr>
                <w:rFonts w:ascii="Arial" w:eastAsia="Arial" w:hAnsi="Arial" w:cs="Arial"/>
                <w:sz w:val="20"/>
                <w:szCs w:val="20"/>
              </w:rPr>
            </w:pPr>
            <w:r w:rsidRPr="00076C66">
              <w:rPr>
                <w:rFonts w:ascii="Arial" w:eastAsia="Arial" w:hAnsi="Arial" w:cs="Arial"/>
                <w:sz w:val="20"/>
                <w:szCs w:val="20"/>
              </w:rPr>
              <w:t>22</w:t>
            </w:r>
          </w:p>
        </w:tc>
      </w:tr>
      <w:tr w:rsidR="001B2587" w14:paraId="3E4046CF" w14:textId="77777777" w:rsidTr="00076C66">
        <w:trPr>
          <w:trHeight w:val="25"/>
        </w:trPr>
        <w:tc>
          <w:tcPr>
            <w:tcW w:w="5250" w:type="dxa"/>
            <w:tcBorders>
              <w:top w:val="nil"/>
              <w:left w:val="nil"/>
              <w:bottom w:val="nil"/>
              <w:right w:val="nil"/>
            </w:tcBorders>
            <w:tcMar>
              <w:top w:w="100" w:type="dxa"/>
              <w:left w:w="100" w:type="dxa"/>
              <w:bottom w:w="100" w:type="dxa"/>
              <w:right w:w="100" w:type="dxa"/>
            </w:tcMar>
          </w:tcPr>
          <w:p w14:paraId="0000007F" w14:textId="77777777" w:rsidR="001B2587" w:rsidRPr="00076C66" w:rsidRDefault="00076C66" w:rsidP="00076C66">
            <w:pPr>
              <w:spacing w:after="0" w:line="240" w:lineRule="auto"/>
              <w:jc w:val="both"/>
              <w:rPr>
                <w:rFonts w:ascii="Arial" w:eastAsia="Arial" w:hAnsi="Arial" w:cs="Arial"/>
                <w:sz w:val="20"/>
                <w:szCs w:val="20"/>
              </w:rPr>
            </w:pPr>
            <w:r w:rsidRPr="00076C66">
              <w:rPr>
                <w:rFonts w:ascii="Arial" w:eastAsia="Arial" w:hAnsi="Arial" w:cs="Arial"/>
                <w:sz w:val="20"/>
                <w:szCs w:val="20"/>
              </w:rPr>
              <w:t>Tecnologias no Setor Metalmecânico</w:t>
            </w:r>
          </w:p>
        </w:tc>
        <w:tc>
          <w:tcPr>
            <w:tcW w:w="1995" w:type="dxa"/>
            <w:tcBorders>
              <w:top w:val="nil"/>
              <w:left w:val="nil"/>
              <w:bottom w:val="nil"/>
              <w:right w:val="nil"/>
            </w:tcBorders>
            <w:tcMar>
              <w:top w:w="100" w:type="dxa"/>
              <w:left w:w="100" w:type="dxa"/>
              <w:bottom w:w="100" w:type="dxa"/>
              <w:right w:w="100" w:type="dxa"/>
            </w:tcMar>
          </w:tcPr>
          <w:p w14:paraId="00000080" w14:textId="77777777" w:rsidR="001B2587" w:rsidRPr="00076C66" w:rsidRDefault="00076C66" w:rsidP="00076C66">
            <w:pPr>
              <w:spacing w:after="0" w:line="240" w:lineRule="auto"/>
              <w:jc w:val="both"/>
              <w:rPr>
                <w:rFonts w:ascii="Arial" w:eastAsia="Arial" w:hAnsi="Arial" w:cs="Arial"/>
                <w:sz w:val="20"/>
                <w:szCs w:val="20"/>
              </w:rPr>
            </w:pPr>
            <w:r w:rsidRPr="00076C66">
              <w:rPr>
                <w:rFonts w:ascii="Arial" w:eastAsia="Arial" w:hAnsi="Arial" w:cs="Arial"/>
                <w:sz w:val="20"/>
                <w:szCs w:val="20"/>
              </w:rPr>
              <w:t>4,26%</w:t>
            </w:r>
          </w:p>
        </w:tc>
        <w:tc>
          <w:tcPr>
            <w:tcW w:w="1635" w:type="dxa"/>
            <w:tcBorders>
              <w:top w:val="nil"/>
              <w:left w:val="nil"/>
              <w:bottom w:val="nil"/>
              <w:right w:val="nil"/>
            </w:tcBorders>
            <w:tcMar>
              <w:top w:w="100" w:type="dxa"/>
              <w:left w:w="100" w:type="dxa"/>
              <w:bottom w:w="100" w:type="dxa"/>
              <w:right w:w="100" w:type="dxa"/>
            </w:tcMar>
          </w:tcPr>
          <w:p w14:paraId="00000081" w14:textId="77777777" w:rsidR="001B2587" w:rsidRPr="00076C66" w:rsidRDefault="00076C66" w:rsidP="00076C66">
            <w:pPr>
              <w:spacing w:after="0" w:line="240" w:lineRule="auto"/>
              <w:jc w:val="both"/>
              <w:rPr>
                <w:rFonts w:ascii="Arial" w:eastAsia="Arial" w:hAnsi="Arial" w:cs="Arial"/>
                <w:sz w:val="20"/>
                <w:szCs w:val="20"/>
              </w:rPr>
            </w:pPr>
            <w:r w:rsidRPr="00076C66">
              <w:rPr>
                <w:rFonts w:ascii="Arial" w:eastAsia="Arial" w:hAnsi="Arial" w:cs="Arial"/>
                <w:sz w:val="20"/>
                <w:szCs w:val="20"/>
              </w:rPr>
              <w:t>10</w:t>
            </w:r>
          </w:p>
        </w:tc>
      </w:tr>
      <w:tr w:rsidR="001B2587" w14:paraId="42E94159" w14:textId="77777777" w:rsidTr="00076C66">
        <w:trPr>
          <w:trHeight w:val="25"/>
        </w:trPr>
        <w:tc>
          <w:tcPr>
            <w:tcW w:w="5250" w:type="dxa"/>
            <w:tcBorders>
              <w:top w:val="nil"/>
              <w:left w:val="nil"/>
              <w:bottom w:val="nil"/>
              <w:right w:val="nil"/>
            </w:tcBorders>
            <w:tcMar>
              <w:top w:w="100" w:type="dxa"/>
              <w:left w:w="100" w:type="dxa"/>
              <w:bottom w:w="100" w:type="dxa"/>
              <w:right w:w="100" w:type="dxa"/>
            </w:tcMar>
          </w:tcPr>
          <w:p w14:paraId="00000082" w14:textId="77777777" w:rsidR="001B2587" w:rsidRPr="00076C66" w:rsidRDefault="00076C66" w:rsidP="00076C66">
            <w:pPr>
              <w:spacing w:after="0" w:line="240" w:lineRule="auto"/>
              <w:jc w:val="both"/>
              <w:rPr>
                <w:rFonts w:ascii="Arial" w:eastAsia="Arial" w:hAnsi="Arial" w:cs="Arial"/>
                <w:sz w:val="20"/>
                <w:szCs w:val="20"/>
              </w:rPr>
            </w:pPr>
            <w:r w:rsidRPr="00076C66">
              <w:rPr>
                <w:rFonts w:ascii="Arial" w:eastAsia="Arial" w:hAnsi="Arial" w:cs="Arial"/>
                <w:sz w:val="20"/>
                <w:szCs w:val="20"/>
              </w:rPr>
              <w:t>Tecnologias em Biotecnologia</w:t>
            </w:r>
          </w:p>
        </w:tc>
        <w:tc>
          <w:tcPr>
            <w:tcW w:w="1995" w:type="dxa"/>
            <w:tcBorders>
              <w:top w:val="nil"/>
              <w:left w:val="nil"/>
              <w:bottom w:val="nil"/>
              <w:right w:val="nil"/>
            </w:tcBorders>
            <w:tcMar>
              <w:top w:w="100" w:type="dxa"/>
              <w:left w:w="100" w:type="dxa"/>
              <w:bottom w:w="100" w:type="dxa"/>
              <w:right w:w="100" w:type="dxa"/>
            </w:tcMar>
          </w:tcPr>
          <w:p w14:paraId="00000083" w14:textId="77777777" w:rsidR="001B2587" w:rsidRPr="00076C66" w:rsidRDefault="00076C66" w:rsidP="00076C66">
            <w:pPr>
              <w:spacing w:after="0" w:line="240" w:lineRule="auto"/>
              <w:jc w:val="both"/>
              <w:rPr>
                <w:rFonts w:ascii="Arial" w:eastAsia="Arial" w:hAnsi="Arial" w:cs="Arial"/>
                <w:sz w:val="20"/>
                <w:szCs w:val="20"/>
              </w:rPr>
            </w:pPr>
            <w:r w:rsidRPr="00076C66">
              <w:rPr>
                <w:rFonts w:ascii="Arial" w:eastAsia="Arial" w:hAnsi="Arial" w:cs="Arial"/>
                <w:sz w:val="20"/>
                <w:szCs w:val="20"/>
              </w:rPr>
              <w:t>1,70%</w:t>
            </w:r>
          </w:p>
        </w:tc>
        <w:tc>
          <w:tcPr>
            <w:tcW w:w="1635" w:type="dxa"/>
            <w:tcBorders>
              <w:top w:val="nil"/>
              <w:left w:val="nil"/>
              <w:bottom w:val="nil"/>
              <w:right w:val="nil"/>
            </w:tcBorders>
            <w:tcMar>
              <w:top w:w="100" w:type="dxa"/>
              <w:left w:w="100" w:type="dxa"/>
              <w:bottom w:w="100" w:type="dxa"/>
              <w:right w:w="100" w:type="dxa"/>
            </w:tcMar>
          </w:tcPr>
          <w:p w14:paraId="00000084" w14:textId="77777777" w:rsidR="001B2587" w:rsidRPr="00076C66" w:rsidRDefault="00076C66" w:rsidP="00076C66">
            <w:pPr>
              <w:spacing w:after="0" w:line="240" w:lineRule="auto"/>
              <w:jc w:val="both"/>
              <w:rPr>
                <w:rFonts w:ascii="Arial" w:eastAsia="Arial" w:hAnsi="Arial" w:cs="Arial"/>
                <w:sz w:val="20"/>
                <w:szCs w:val="20"/>
              </w:rPr>
            </w:pPr>
            <w:r w:rsidRPr="00076C66">
              <w:rPr>
                <w:rFonts w:ascii="Arial" w:eastAsia="Arial" w:hAnsi="Arial" w:cs="Arial"/>
                <w:sz w:val="20"/>
                <w:szCs w:val="20"/>
              </w:rPr>
              <w:t>4</w:t>
            </w:r>
          </w:p>
        </w:tc>
      </w:tr>
      <w:tr w:rsidR="001B2587" w14:paraId="097CDE7C" w14:textId="77777777" w:rsidTr="00076C66">
        <w:trPr>
          <w:trHeight w:val="25"/>
        </w:trPr>
        <w:tc>
          <w:tcPr>
            <w:tcW w:w="5250" w:type="dxa"/>
            <w:tcBorders>
              <w:top w:val="nil"/>
              <w:left w:val="nil"/>
              <w:bottom w:val="nil"/>
              <w:right w:val="nil"/>
            </w:tcBorders>
            <w:tcMar>
              <w:top w:w="100" w:type="dxa"/>
              <w:left w:w="100" w:type="dxa"/>
              <w:bottom w:w="100" w:type="dxa"/>
              <w:right w:w="100" w:type="dxa"/>
            </w:tcMar>
          </w:tcPr>
          <w:p w14:paraId="00000085" w14:textId="77777777" w:rsidR="001B2587" w:rsidRPr="00076C66" w:rsidRDefault="00076C66" w:rsidP="00076C66">
            <w:pPr>
              <w:spacing w:after="0" w:line="240" w:lineRule="auto"/>
              <w:jc w:val="both"/>
              <w:rPr>
                <w:rFonts w:ascii="Arial" w:eastAsia="Arial" w:hAnsi="Arial" w:cs="Arial"/>
                <w:sz w:val="20"/>
                <w:szCs w:val="20"/>
              </w:rPr>
            </w:pPr>
            <w:r w:rsidRPr="00076C66">
              <w:rPr>
                <w:rFonts w:ascii="Arial" w:eastAsia="Arial" w:hAnsi="Arial" w:cs="Arial"/>
                <w:sz w:val="20"/>
                <w:szCs w:val="20"/>
              </w:rPr>
              <w:t>Tecnologias em Nanotecnologias</w:t>
            </w:r>
          </w:p>
        </w:tc>
        <w:tc>
          <w:tcPr>
            <w:tcW w:w="1995" w:type="dxa"/>
            <w:tcBorders>
              <w:top w:val="nil"/>
              <w:left w:val="nil"/>
              <w:bottom w:val="nil"/>
              <w:right w:val="nil"/>
            </w:tcBorders>
            <w:tcMar>
              <w:top w:w="100" w:type="dxa"/>
              <w:left w:w="100" w:type="dxa"/>
              <w:bottom w:w="100" w:type="dxa"/>
              <w:right w:w="100" w:type="dxa"/>
            </w:tcMar>
          </w:tcPr>
          <w:p w14:paraId="00000086" w14:textId="77777777" w:rsidR="001B2587" w:rsidRPr="00076C66" w:rsidRDefault="00076C66" w:rsidP="00076C66">
            <w:pPr>
              <w:spacing w:after="0" w:line="240" w:lineRule="auto"/>
              <w:jc w:val="both"/>
              <w:rPr>
                <w:rFonts w:ascii="Arial" w:eastAsia="Arial" w:hAnsi="Arial" w:cs="Arial"/>
                <w:sz w:val="20"/>
                <w:szCs w:val="20"/>
              </w:rPr>
            </w:pPr>
            <w:r w:rsidRPr="00076C66">
              <w:rPr>
                <w:rFonts w:ascii="Arial" w:eastAsia="Arial" w:hAnsi="Arial" w:cs="Arial"/>
                <w:sz w:val="20"/>
                <w:szCs w:val="20"/>
              </w:rPr>
              <w:t>1,28%</w:t>
            </w:r>
          </w:p>
        </w:tc>
        <w:tc>
          <w:tcPr>
            <w:tcW w:w="1635" w:type="dxa"/>
            <w:tcBorders>
              <w:top w:val="nil"/>
              <w:left w:val="nil"/>
              <w:bottom w:val="nil"/>
              <w:right w:val="nil"/>
            </w:tcBorders>
            <w:tcMar>
              <w:top w:w="100" w:type="dxa"/>
              <w:left w:w="100" w:type="dxa"/>
              <w:bottom w:w="100" w:type="dxa"/>
              <w:right w:w="100" w:type="dxa"/>
            </w:tcMar>
          </w:tcPr>
          <w:p w14:paraId="00000087" w14:textId="77777777" w:rsidR="001B2587" w:rsidRPr="00076C66" w:rsidRDefault="00076C66" w:rsidP="00076C66">
            <w:pPr>
              <w:spacing w:after="0" w:line="240" w:lineRule="auto"/>
              <w:jc w:val="both"/>
              <w:rPr>
                <w:rFonts w:ascii="Arial" w:eastAsia="Arial" w:hAnsi="Arial" w:cs="Arial"/>
                <w:sz w:val="20"/>
                <w:szCs w:val="20"/>
              </w:rPr>
            </w:pPr>
            <w:r w:rsidRPr="00076C66">
              <w:rPr>
                <w:rFonts w:ascii="Arial" w:eastAsia="Arial" w:hAnsi="Arial" w:cs="Arial"/>
                <w:sz w:val="20"/>
                <w:szCs w:val="20"/>
              </w:rPr>
              <w:t>3</w:t>
            </w:r>
          </w:p>
        </w:tc>
      </w:tr>
      <w:tr w:rsidR="001B2587" w14:paraId="166FE4C9" w14:textId="77777777" w:rsidTr="00076C66">
        <w:trPr>
          <w:trHeight w:val="25"/>
        </w:trPr>
        <w:tc>
          <w:tcPr>
            <w:tcW w:w="5250" w:type="dxa"/>
            <w:tcBorders>
              <w:top w:val="nil"/>
              <w:left w:val="nil"/>
              <w:bottom w:val="nil"/>
              <w:right w:val="nil"/>
            </w:tcBorders>
            <w:tcMar>
              <w:top w:w="100" w:type="dxa"/>
              <w:left w:w="100" w:type="dxa"/>
              <w:bottom w:w="100" w:type="dxa"/>
              <w:right w:w="100" w:type="dxa"/>
            </w:tcMar>
          </w:tcPr>
          <w:p w14:paraId="00000088" w14:textId="77777777" w:rsidR="001B2587" w:rsidRPr="00076C66" w:rsidRDefault="00076C66" w:rsidP="00076C66">
            <w:pPr>
              <w:spacing w:after="0" w:line="240" w:lineRule="auto"/>
              <w:jc w:val="both"/>
              <w:rPr>
                <w:rFonts w:ascii="Arial" w:eastAsia="Arial" w:hAnsi="Arial" w:cs="Arial"/>
                <w:sz w:val="20"/>
                <w:szCs w:val="20"/>
              </w:rPr>
            </w:pPr>
            <w:r w:rsidRPr="00076C66">
              <w:rPr>
                <w:rFonts w:ascii="Arial" w:eastAsia="Arial" w:hAnsi="Arial" w:cs="Arial"/>
                <w:sz w:val="20"/>
                <w:szCs w:val="20"/>
              </w:rPr>
              <w:t>Tecnologias em Economia Digital</w:t>
            </w:r>
          </w:p>
        </w:tc>
        <w:tc>
          <w:tcPr>
            <w:tcW w:w="1995" w:type="dxa"/>
            <w:tcBorders>
              <w:top w:val="nil"/>
              <w:left w:val="nil"/>
              <w:bottom w:val="nil"/>
              <w:right w:val="nil"/>
            </w:tcBorders>
            <w:tcMar>
              <w:top w:w="100" w:type="dxa"/>
              <w:left w:w="100" w:type="dxa"/>
              <w:bottom w:w="100" w:type="dxa"/>
              <w:right w:w="100" w:type="dxa"/>
            </w:tcMar>
          </w:tcPr>
          <w:p w14:paraId="00000089" w14:textId="77777777" w:rsidR="001B2587" w:rsidRPr="00076C66" w:rsidRDefault="00076C66" w:rsidP="00076C66">
            <w:pPr>
              <w:spacing w:after="0" w:line="240" w:lineRule="auto"/>
              <w:jc w:val="both"/>
              <w:rPr>
                <w:rFonts w:ascii="Arial" w:eastAsia="Arial" w:hAnsi="Arial" w:cs="Arial"/>
                <w:sz w:val="20"/>
                <w:szCs w:val="20"/>
              </w:rPr>
            </w:pPr>
            <w:r w:rsidRPr="00076C66">
              <w:rPr>
                <w:rFonts w:ascii="Arial" w:eastAsia="Arial" w:hAnsi="Arial" w:cs="Arial"/>
                <w:sz w:val="20"/>
                <w:szCs w:val="20"/>
              </w:rPr>
              <w:t>4,26%</w:t>
            </w:r>
          </w:p>
        </w:tc>
        <w:tc>
          <w:tcPr>
            <w:tcW w:w="1635" w:type="dxa"/>
            <w:tcBorders>
              <w:top w:val="nil"/>
              <w:left w:val="nil"/>
              <w:bottom w:val="nil"/>
              <w:right w:val="nil"/>
            </w:tcBorders>
            <w:tcMar>
              <w:top w:w="100" w:type="dxa"/>
              <w:left w:w="100" w:type="dxa"/>
              <w:bottom w:w="100" w:type="dxa"/>
              <w:right w:w="100" w:type="dxa"/>
            </w:tcMar>
          </w:tcPr>
          <w:p w14:paraId="0000008A" w14:textId="77777777" w:rsidR="001B2587" w:rsidRPr="00076C66" w:rsidRDefault="00076C66" w:rsidP="00076C66">
            <w:pPr>
              <w:spacing w:after="0" w:line="240" w:lineRule="auto"/>
              <w:jc w:val="both"/>
              <w:rPr>
                <w:rFonts w:ascii="Arial" w:eastAsia="Arial" w:hAnsi="Arial" w:cs="Arial"/>
                <w:sz w:val="20"/>
                <w:szCs w:val="20"/>
              </w:rPr>
            </w:pPr>
            <w:r w:rsidRPr="00076C66">
              <w:rPr>
                <w:rFonts w:ascii="Arial" w:eastAsia="Arial" w:hAnsi="Arial" w:cs="Arial"/>
                <w:sz w:val="20"/>
                <w:szCs w:val="20"/>
              </w:rPr>
              <w:t>10</w:t>
            </w:r>
          </w:p>
        </w:tc>
      </w:tr>
      <w:tr w:rsidR="001B2587" w14:paraId="5DA8AD2A" w14:textId="77777777" w:rsidTr="00076C66">
        <w:trPr>
          <w:trHeight w:val="25"/>
        </w:trPr>
        <w:tc>
          <w:tcPr>
            <w:tcW w:w="5250" w:type="dxa"/>
            <w:tcBorders>
              <w:top w:val="nil"/>
              <w:left w:val="nil"/>
              <w:bottom w:val="single" w:sz="8" w:space="0" w:color="7F7F7F"/>
              <w:right w:val="nil"/>
            </w:tcBorders>
            <w:tcMar>
              <w:top w:w="100" w:type="dxa"/>
              <w:left w:w="100" w:type="dxa"/>
              <w:bottom w:w="100" w:type="dxa"/>
              <w:right w:w="100" w:type="dxa"/>
            </w:tcMar>
          </w:tcPr>
          <w:p w14:paraId="0000008B" w14:textId="77777777" w:rsidR="001B2587" w:rsidRPr="00076C66" w:rsidRDefault="00076C66" w:rsidP="00076C66">
            <w:pPr>
              <w:spacing w:after="0" w:line="240" w:lineRule="auto"/>
              <w:jc w:val="both"/>
              <w:rPr>
                <w:rFonts w:ascii="Arial" w:eastAsia="Arial" w:hAnsi="Arial" w:cs="Arial"/>
                <w:sz w:val="20"/>
                <w:szCs w:val="20"/>
              </w:rPr>
            </w:pPr>
            <w:r w:rsidRPr="00076C66">
              <w:rPr>
                <w:rFonts w:ascii="Arial" w:eastAsia="Arial" w:hAnsi="Arial" w:cs="Arial"/>
                <w:sz w:val="20"/>
                <w:szCs w:val="20"/>
              </w:rPr>
              <w:t>Tecnologias em Logística</w:t>
            </w:r>
          </w:p>
        </w:tc>
        <w:tc>
          <w:tcPr>
            <w:tcW w:w="1995" w:type="dxa"/>
            <w:tcBorders>
              <w:top w:val="nil"/>
              <w:left w:val="nil"/>
              <w:bottom w:val="single" w:sz="8" w:space="0" w:color="7F7F7F"/>
              <w:right w:val="nil"/>
            </w:tcBorders>
            <w:tcMar>
              <w:top w:w="100" w:type="dxa"/>
              <w:left w:w="100" w:type="dxa"/>
              <w:bottom w:w="100" w:type="dxa"/>
              <w:right w:w="100" w:type="dxa"/>
            </w:tcMar>
          </w:tcPr>
          <w:p w14:paraId="0000008C" w14:textId="77777777" w:rsidR="001B2587" w:rsidRPr="00076C66" w:rsidRDefault="00076C66" w:rsidP="00076C66">
            <w:pPr>
              <w:spacing w:after="0" w:line="240" w:lineRule="auto"/>
              <w:jc w:val="both"/>
              <w:rPr>
                <w:rFonts w:ascii="Arial" w:eastAsia="Arial" w:hAnsi="Arial" w:cs="Arial"/>
                <w:sz w:val="20"/>
                <w:szCs w:val="20"/>
              </w:rPr>
            </w:pPr>
            <w:r w:rsidRPr="00076C66">
              <w:rPr>
                <w:rFonts w:ascii="Arial" w:eastAsia="Arial" w:hAnsi="Arial" w:cs="Arial"/>
                <w:sz w:val="20"/>
                <w:szCs w:val="20"/>
              </w:rPr>
              <w:t>4,66%</w:t>
            </w:r>
          </w:p>
        </w:tc>
        <w:tc>
          <w:tcPr>
            <w:tcW w:w="1635" w:type="dxa"/>
            <w:tcBorders>
              <w:top w:val="nil"/>
              <w:left w:val="nil"/>
              <w:bottom w:val="single" w:sz="8" w:space="0" w:color="7F7F7F"/>
              <w:right w:val="nil"/>
            </w:tcBorders>
            <w:tcMar>
              <w:top w:w="100" w:type="dxa"/>
              <w:left w:w="100" w:type="dxa"/>
              <w:bottom w:w="100" w:type="dxa"/>
              <w:right w:w="100" w:type="dxa"/>
            </w:tcMar>
          </w:tcPr>
          <w:p w14:paraId="0000008D" w14:textId="77777777" w:rsidR="001B2587" w:rsidRPr="00076C66" w:rsidRDefault="00076C66" w:rsidP="00076C66">
            <w:pPr>
              <w:spacing w:after="0" w:line="240" w:lineRule="auto"/>
              <w:jc w:val="both"/>
              <w:rPr>
                <w:rFonts w:ascii="Arial" w:eastAsia="Arial" w:hAnsi="Arial" w:cs="Arial"/>
                <w:sz w:val="20"/>
                <w:szCs w:val="20"/>
              </w:rPr>
            </w:pPr>
            <w:r w:rsidRPr="00076C66">
              <w:rPr>
                <w:rFonts w:ascii="Arial" w:eastAsia="Arial" w:hAnsi="Arial" w:cs="Arial"/>
                <w:sz w:val="20"/>
                <w:szCs w:val="20"/>
              </w:rPr>
              <w:t>11</w:t>
            </w:r>
          </w:p>
        </w:tc>
      </w:tr>
    </w:tbl>
    <w:p w14:paraId="0000008E" w14:textId="77777777" w:rsidR="001B2587" w:rsidRDefault="00076C66">
      <w:pPr>
        <w:spacing w:after="0" w:line="360" w:lineRule="auto"/>
        <w:jc w:val="both"/>
        <w:rPr>
          <w:rFonts w:ascii="Arial" w:eastAsia="Arial" w:hAnsi="Arial" w:cs="Arial"/>
          <w:sz w:val="20"/>
          <w:szCs w:val="20"/>
        </w:rPr>
      </w:pPr>
      <w:r>
        <w:rPr>
          <w:rFonts w:ascii="Arial" w:eastAsia="Arial" w:hAnsi="Arial" w:cs="Arial"/>
          <w:sz w:val="20"/>
          <w:szCs w:val="20"/>
        </w:rPr>
        <w:t>Fonte: elaborada pelos autores (2020).</w:t>
      </w:r>
    </w:p>
    <w:p w14:paraId="0000008F" w14:textId="77777777" w:rsidR="001B2587" w:rsidRDefault="001B2587">
      <w:pPr>
        <w:spacing w:after="0" w:line="360" w:lineRule="auto"/>
        <w:ind w:firstLine="720"/>
        <w:jc w:val="both"/>
        <w:rPr>
          <w:rFonts w:ascii="Arial" w:eastAsia="Arial" w:hAnsi="Arial" w:cs="Arial"/>
          <w:sz w:val="20"/>
          <w:szCs w:val="20"/>
        </w:rPr>
      </w:pPr>
    </w:p>
    <w:p w14:paraId="00000090" w14:textId="77777777" w:rsidR="001B2587" w:rsidRDefault="00076C66">
      <w:pPr>
        <w:spacing w:after="0" w:line="360" w:lineRule="auto"/>
        <w:ind w:firstLine="720"/>
        <w:jc w:val="both"/>
        <w:rPr>
          <w:rFonts w:ascii="Arial" w:eastAsia="Arial" w:hAnsi="Arial" w:cs="Arial"/>
        </w:rPr>
      </w:pPr>
      <w:r>
        <w:rPr>
          <w:rFonts w:ascii="Arial" w:eastAsia="Arial" w:hAnsi="Arial" w:cs="Arial"/>
        </w:rPr>
        <w:t>Conforme a Tabela 2, observa-se que as áreas portadoras de futuro para a região estão voltadas para o setor de alimentos, setor de turismo, setor voltado para as tecnologias energéticas e/ou ambientais, setor madeireiro e moveleiro e setor da saúde. Atravé</w:t>
      </w:r>
      <w:r>
        <w:rPr>
          <w:rFonts w:ascii="Arial" w:eastAsia="Arial" w:hAnsi="Arial" w:cs="Arial"/>
        </w:rPr>
        <w:t xml:space="preserve">s das áreas mapeadas, percebe-se que a Região dos Vales possui características vocacionais e potenciais para tais setores, visto que, as vocações da região estão ou pretendem estar vinculadas: à economia diversificada, a partir da produção de alimentos na </w:t>
      </w:r>
      <w:r>
        <w:rPr>
          <w:rFonts w:ascii="Arial" w:eastAsia="Arial" w:hAnsi="Arial" w:cs="Arial"/>
        </w:rPr>
        <w:t xml:space="preserve">agricultura familiar; à inovação e ao empreendedorismo; à educação como fundamento na rede de formação </w:t>
      </w:r>
      <w:r>
        <w:rPr>
          <w:rFonts w:ascii="Arial" w:eastAsia="Arial" w:hAnsi="Arial" w:cs="Arial"/>
        </w:rPr>
        <w:lastRenderedPageBreak/>
        <w:t>cidadã e profissional; à saúde integral e preventiva; à preservação da segurança e da ordem pública; ao turismo e ao lazer; ao associativismo e às formas</w:t>
      </w:r>
      <w:r>
        <w:rPr>
          <w:rFonts w:ascii="Arial" w:eastAsia="Arial" w:hAnsi="Arial" w:cs="Arial"/>
        </w:rPr>
        <w:t xml:space="preserve"> cooperadas (</w:t>
      </w:r>
      <w:r>
        <w:rPr>
          <w:rFonts w:ascii="Arial" w:eastAsia="Arial" w:hAnsi="Arial" w:cs="Arial"/>
          <w:highlight w:val="white"/>
        </w:rPr>
        <w:t>AGOSTINI</w:t>
      </w:r>
      <w:r>
        <w:rPr>
          <w:rFonts w:ascii="Arial" w:eastAsia="Arial" w:hAnsi="Arial" w:cs="Arial"/>
        </w:rPr>
        <w:t>, 2017; SILVEIRA &amp; PETRY, 2017).</w:t>
      </w:r>
    </w:p>
    <w:p w14:paraId="00000091" w14:textId="77777777" w:rsidR="001B2587" w:rsidRDefault="00076C66">
      <w:pPr>
        <w:spacing w:after="0" w:line="360" w:lineRule="auto"/>
        <w:ind w:firstLine="720"/>
        <w:jc w:val="both"/>
        <w:rPr>
          <w:rFonts w:ascii="Arial" w:eastAsia="Arial" w:hAnsi="Arial" w:cs="Arial"/>
        </w:rPr>
      </w:pPr>
      <w:r>
        <w:rPr>
          <w:rFonts w:ascii="Arial" w:eastAsia="Arial" w:hAnsi="Arial" w:cs="Arial"/>
        </w:rPr>
        <w:t>No entanto, ainda vale ressaltar alguns valores presentes na Região dos Vales como: valores familiares, solidários, comunitários, de formação histórico-cultural e de respeito pelos saberes populares; va</w:t>
      </w:r>
      <w:r>
        <w:rPr>
          <w:rFonts w:ascii="Arial" w:eastAsia="Arial" w:hAnsi="Arial" w:cs="Arial"/>
        </w:rPr>
        <w:t>lores voltados para o trabalho, honestidade, ética, compromisso e organização; valores de respeito ao coletivo, às autoridades, às leis e à ordem pública;  valores de transparência, lealdade, credibilidade e reciprocidade; valores norteadores baseados no t</w:t>
      </w:r>
      <w:r>
        <w:rPr>
          <w:rFonts w:ascii="Arial" w:eastAsia="Arial" w:hAnsi="Arial" w:cs="Arial"/>
        </w:rPr>
        <w:t>rabalho, educação, cultura, empreendedorismo, liderança, cooperação tecnológica e sustentabilidade ambiental (</w:t>
      </w:r>
      <w:r>
        <w:rPr>
          <w:rFonts w:ascii="Arial" w:eastAsia="Arial" w:hAnsi="Arial" w:cs="Arial"/>
          <w:highlight w:val="white"/>
        </w:rPr>
        <w:t>AGOSTINI</w:t>
      </w:r>
      <w:r>
        <w:rPr>
          <w:rFonts w:ascii="Arial" w:eastAsia="Arial" w:hAnsi="Arial" w:cs="Arial"/>
        </w:rPr>
        <w:t>, 2017; SILVEIRA &amp; PETRY, 2017).</w:t>
      </w:r>
    </w:p>
    <w:p w14:paraId="00000092" w14:textId="77777777" w:rsidR="001B2587" w:rsidRDefault="00076C66">
      <w:pPr>
        <w:spacing w:after="0" w:line="360" w:lineRule="auto"/>
        <w:ind w:firstLine="720"/>
        <w:jc w:val="both"/>
        <w:rPr>
          <w:rFonts w:ascii="Arial" w:eastAsia="Arial" w:hAnsi="Arial" w:cs="Arial"/>
        </w:rPr>
      </w:pPr>
      <w:r>
        <w:rPr>
          <w:rFonts w:ascii="Arial" w:eastAsia="Arial" w:hAnsi="Arial" w:cs="Arial"/>
        </w:rPr>
        <w:t>Para compreender as percepções sobre cultura empreendedora nos municípios, questionou-se sobre os princip</w:t>
      </w:r>
      <w:r>
        <w:rPr>
          <w:rFonts w:ascii="Arial" w:eastAsia="Arial" w:hAnsi="Arial" w:cs="Arial"/>
        </w:rPr>
        <w:t>ais eventos da cidade, os meios de comunicação e os evangelistas que falam de inovação, conforme é apresentado na Figura 1 e 2.</w:t>
      </w:r>
    </w:p>
    <w:p w14:paraId="00000093" w14:textId="77777777" w:rsidR="001B2587" w:rsidRDefault="001B2587">
      <w:pPr>
        <w:spacing w:after="0" w:line="360" w:lineRule="auto"/>
        <w:ind w:firstLine="720"/>
        <w:jc w:val="center"/>
        <w:rPr>
          <w:rFonts w:ascii="Arial" w:eastAsia="Arial" w:hAnsi="Arial" w:cs="Arial"/>
          <w:b/>
          <w:sz w:val="20"/>
          <w:szCs w:val="20"/>
        </w:rPr>
      </w:pPr>
    </w:p>
    <w:p w14:paraId="00000094" w14:textId="77777777" w:rsidR="001B2587" w:rsidRDefault="00076C66">
      <w:pPr>
        <w:spacing w:after="0" w:line="360" w:lineRule="auto"/>
        <w:ind w:firstLine="720"/>
        <w:jc w:val="center"/>
        <w:rPr>
          <w:rFonts w:ascii="Arial" w:eastAsia="Arial" w:hAnsi="Arial" w:cs="Arial"/>
          <w:b/>
          <w:sz w:val="20"/>
          <w:szCs w:val="20"/>
        </w:rPr>
      </w:pPr>
      <w:r>
        <w:rPr>
          <w:rFonts w:ascii="Arial" w:eastAsia="Arial" w:hAnsi="Arial" w:cs="Arial"/>
          <w:b/>
          <w:sz w:val="20"/>
          <w:szCs w:val="20"/>
        </w:rPr>
        <w:t>Figura 1 - Principais Eventos sobre Inovação</w:t>
      </w:r>
    </w:p>
    <w:p w14:paraId="00000095" w14:textId="77777777" w:rsidR="001B2587" w:rsidRDefault="00076C66">
      <w:pPr>
        <w:spacing w:after="0" w:line="360" w:lineRule="auto"/>
        <w:ind w:firstLine="720"/>
        <w:jc w:val="both"/>
        <w:rPr>
          <w:rFonts w:ascii="Arial" w:eastAsia="Arial" w:hAnsi="Arial" w:cs="Arial"/>
          <w:sz w:val="24"/>
          <w:szCs w:val="24"/>
        </w:rPr>
      </w:pPr>
      <w:r>
        <w:rPr>
          <w:rFonts w:ascii="Arial" w:eastAsia="Arial" w:hAnsi="Arial" w:cs="Arial"/>
          <w:noProof/>
          <w:sz w:val="24"/>
          <w:szCs w:val="24"/>
        </w:rPr>
        <w:drawing>
          <wp:inline distT="114300" distB="114300" distL="114300" distR="114300">
            <wp:extent cx="5066748" cy="2717796"/>
            <wp:effectExtent l="0" t="0" r="0" b="0"/>
            <wp:docPr id="1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l="44803" t="33774" r="1555" b="15058"/>
                    <a:stretch>
                      <a:fillRect/>
                    </a:stretch>
                  </pic:blipFill>
                  <pic:spPr>
                    <a:xfrm>
                      <a:off x="0" y="0"/>
                      <a:ext cx="5066748" cy="2717796"/>
                    </a:xfrm>
                    <a:prstGeom prst="rect">
                      <a:avLst/>
                    </a:prstGeom>
                    <a:ln/>
                  </pic:spPr>
                </pic:pic>
              </a:graphicData>
            </a:graphic>
          </wp:inline>
        </w:drawing>
      </w:r>
    </w:p>
    <w:p w14:paraId="00000096" w14:textId="77777777" w:rsidR="001B2587" w:rsidRDefault="001B2587">
      <w:pPr>
        <w:spacing w:after="0" w:line="360" w:lineRule="auto"/>
        <w:ind w:firstLine="720"/>
        <w:jc w:val="center"/>
        <w:rPr>
          <w:rFonts w:ascii="Arial" w:eastAsia="Arial" w:hAnsi="Arial" w:cs="Arial"/>
          <w:b/>
          <w:sz w:val="20"/>
          <w:szCs w:val="20"/>
        </w:rPr>
      </w:pPr>
    </w:p>
    <w:p w14:paraId="00000097" w14:textId="77777777" w:rsidR="001B2587" w:rsidRDefault="001B2587">
      <w:pPr>
        <w:spacing w:after="0" w:line="360" w:lineRule="auto"/>
        <w:ind w:firstLine="720"/>
        <w:jc w:val="center"/>
        <w:rPr>
          <w:rFonts w:ascii="Arial" w:eastAsia="Arial" w:hAnsi="Arial" w:cs="Arial"/>
          <w:b/>
          <w:sz w:val="20"/>
          <w:szCs w:val="20"/>
        </w:rPr>
      </w:pPr>
    </w:p>
    <w:p w14:paraId="00000098" w14:textId="77777777" w:rsidR="001B2587" w:rsidRDefault="001B2587">
      <w:pPr>
        <w:spacing w:after="0" w:line="360" w:lineRule="auto"/>
        <w:ind w:firstLine="720"/>
        <w:jc w:val="center"/>
        <w:rPr>
          <w:rFonts w:ascii="Arial" w:eastAsia="Arial" w:hAnsi="Arial" w:cs="Arial"/>
          <w:b/>
          <w:sz w:val="20"/>
          <w:szCs w:val="20"/>
        </w:rPr>
      </w:pPr>
    </w:p>
    <w:p w14:paraId="00000099" w14:textId="77777777" w:rsidR="001B2587" w:rsidRDefault="001B2587">
      <w:pPr>
        <w:spacing w:after="0" w:line="360" w:lineRule="auto"/>
        <w:ind w:firstLine="720"/>
        <w:jc w:val="center"/>
        <w:rPr>
          <w:rFonts w:ascii="Arial" w:eastAsia="Arial" w:hAnsi="Arial" w:cs="Arial"/>
          <w:b/>
          <w:sz w:val="20"/>
          <w:szCs w:val="20"/>
        </w:rPr>
      </w:pPr>
    </w:p>
    <w:p w14:paraId="0000009A" w14:textId="77777777" w:rsidR="001B2587" w:rsidRDefault="001B2587">
      <w:pPr>
        <w:spacing w:after="0" w:line="360" w:lineRule="auto"/>
        <w:ind w:firstLine="720"/>
        <w:jc w:val="center"/>
        <w:rPr>
          <w:rFonts w:ascii="Arial" w:eastAsia="Arial" w:hAnsi="Arial" w:cs="Arial"/>
          <w:b/>
          <w:sz w:val="20"/>
          <w:szCs w:val="20"/>
        </w:rPr>
      </w:pPr>
    </w:p>
    <w:p w14:paraId="0000009B" w14:textId="666C81CB" w:rsidR="001B2587" w:rsidRDefault="001B2587">
      <w:pPr>
        <w:spacing w:after="0" w:line="360" w:lineRule="auto"/>
        <w:ind w:firstLine="720"/>
        <w:jc w:val="center"/>
        <w:rPr>
          <w:rFonts w:ascii="Arial" w:eastAsia="Arial" w:hAnsi="Arial" w:cs="Arial"/>
          <w:b/>
          <w:sz w:val="20"/>
          <w:szCs w:val="20"/>
        </w:rPr>
      </w:pPr>
    </w:p>
    <w:p w14:paraId="6BBC316B" w14:textId="2DC0CC8F" w:rsidR="00076C66" w:rsidRDefault="00076C66">
      <w:pPr>
        <w:spacing w:after="0" w:line="360" w:lineRule="auto"/>
        <w:ind w:firstLine="720"/>
        <w:jc w:val="center"/>
        <w:rPr>
          <w:rFonts w:ascii="Arial" w:eastAsia="Arial" w:hAnsi="Arial" w:cs="Arial"/>
          <w:b/>
          <w:sz w:val="20"/>
          <w:szCs w:val="20"/>
        </w:rPr>
      </w:pPr>
    </w:p>
    <w:p w14:paraId="587458FF" w14:textId="028720AF" w:rsidR="00076C66" w:rsidRDefault="00076C66">
      <w:pPr>
        <w:spacing w:after="0" w:line="360" w:lineRule="auto"/>
        <w:ind w:firstLine="720"/>
        <w:jc w:val="center"/>
        <w:rPr>
          <w:rFonts w:ascii="Arial" w:eastAsia="Arial" w:hAnsi="Arial" w:cs="Arial"/>
          <w:b/>
          <w:sz w:val="20"/>
          <w:szCs w:val="20"/>
        </w:rPr>
      </w:pPr>
    </w:p>
    <w:p w14:paraId="14FD7839" w14:textId="77777777" w:rsidR="00076C66" w:rsidRDefault="00076C66">
      <w:pPr>
        <w:spacing w:after="0" w:line="360" w:lineRule="auto"/>
        <w:ind w:firstLine="720"/>
        <w:jc w:val="center"/>
        <w:rPr>
          <w:rFonts w:ascii="Arial" w:eastAsia="Arial" w:hAnsi="Arial" w:cs="Arial"/>
          <w:b/>
          <w:sz w:val="20"/>
          <w:szCs w:val="20"/>
        </w:rPr>
      </w:pPr>
    </w:p>
    <w:p w14:paraId="0000009C" w14:textId="77777777" w:rsidR="001B2587" w:rsidRDefault="001B2587">
      <w:pPr>
        <w:spacing w:after="0" w:line="360" w:lineRule="auto"/>
        <w:ind w:firstLine="720"/>
        <w:jc w:val="center"/>
        <w:rPr>
          <w:rFonts w:ascii="Arial" w:eastAsia="Arial" w:hAnsi="Arial" w:cs="Arial"/>
          <w:b/>
          <w:sz w:val="20"/>
          <w:szCs w:val="20"/>
        </w:rPr>
      </w:pPr>
    </w:p>
    <w:p w14:paraId="0000009D" w14:textId="77777777" w:rsidR="001B2587" w:rsidRDefault="001B2587">
      <w:pPr>
        <w:spacing w:after="0" w:line="360" w:lineRule="auto"/>
        <w:ind w:firstLine="720"/>
        <w:jc w:val="center"/>
        <w:rPr>
          <w:rFonts w:ascii="Arial" w:eastAsia="Arial" w:hAnsi="Arial" w:cs="Arial"/>
          <w:b/>
          <w:sz w:val="20"/>
          <w:szCs w:val="20"/>
        </w:rPr>
      </w:pPr>
    </w:p>
    <w:p w14:paraId="0000009E" w14:textId="77777777" w:rsidR="001B2587" w:rsidRDefault="00076C66">
      <w:pPr>
        <w:spacing w:after="0" w:line="360" w:lineRule="auto"/>
        <w:ind w:firstLine="720"/>
        <w:jc w:val="center"/>
        <w:rPr>
          <w:rFonts w:ascii="Arial" w:eastAsia="Arial" w:hAnsi="Arial" w:cs="Arial"/>
          <w:b/>
          <w:sz w:val="20"/>
          <w:szCs w:val="20"/>
        </w:rPr>
      </w:pPr>
      <w:r>
        <w:rPr>
          <w:rFonts w:ascii="Arial" w:eastAsia="Arial" w:hAnsi="Arial" w:cs="Arial"/>
          <w:b/>
          <w:sz w:val="20"/>
          <w:szCs w:val="20"/>
        </w:rPr>
        <w:lastRenderedPageBreak/>
        <w:t>Figura 2 - Principais Meios de Comunicação sobre Inovação</w:t>
      </w:r>
    </w:p>
    <w:p w14:paraId="0000009F" w14:textId="77777777" w:rsidR="001B2587" w:rsidRDefault="00076C66">
      <w:pPr>
        <w:spacing w:after="0" w:line="360" w:lineRule="auto"/>
        <w:ind w:firstLine="720"/>
        <w:jc w:val="both"/>
        <w:rPr>
          <w:rFonts w:ascii="Arial" w:eastAsia="Arial" w:hAnsi="Arial" w:cs="Arial"/>
          <w:sz w:val="24"/>
          <w:szCs w:val="24"/>
        </w:rPr>
      </w:pPr>
      <w:r>
        <w:rPr>
          <w:rFonts w:ascii="Arial" w:eastAsia="Arial" w:hAnsi="Arial" w:cs="Arial"/>
          <w:noProof/>
          <w:sz w:val="24"/>
          <w:szCs w:val="24"/>
        </w:rPr>
        <w:drawing>
          <wp:inline distT="114300" distB="114300" distL="114300" distR="114300">
            <wp:extent cx="4861094" cy="2658563"/>
            <wp:effectExtent l="0" t="0" r="0" b="0"/>
            <wp:docPr id="1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7"/>
                    <a:srcRect l="46624" t="33710" r="1555" b="15895"/>
                    <a:stretch>
                      <a:fillRect/>
                    </a:stretch>
                  </pic:blipFill>
                  <pic:spPr>
                    <a:xfrm>
                      <a:off x="0" y="0"/>
                      <a:ext cx="4861094" cy="2658563"/>
                    </a:xfrm>
                    <a:prstGeom prst="rect">
                      <a:avLst/>
                    </a:prstGeom>
                    <a:ln/>
                  </pic:spPr>
                </pic:pic>
              </a:graphicData>
            </a:graphic>
          </wp:inline>
        </w:drawing>
      </w:r>
    </w:p>
    <w:p w14:paraId="000000A1" w14:textId="77777777" w:rsidR="001B2587" w:rsidRDefault="00076C66">
      <w:pPr>
        <w:spacing w:after="0" w:line="360" w:lineRule="auto"/>
        <w:ind w:firstLine="720"/>
        <w:jc w:val="both"/>
        <w:rPr>
          <w:rFonts w:ascii="Arial" w:eastAsia="Arial" w:hAnsi="Arial" w:cs="Arial"/>
        </w:rPr>
      </w:pPr>
      <w:r>
        <w:rPr>
          <w:rFonts w:ascii="Arial" w:eastAsia="Arial" w:hAnsi="Arial" w:cs="Arial"/>
        </w:rPr>
        <w:t>Observa-se na Figura 1, que os principais eventos indicados pelos 43,63% dos respondentes, são eventos diversos e voltados ao entretenimento e turismo do município, com menor foco em inovação. Eventos tais como, Feiras Municipais, Exposições, Feiras de Uni</w:t>
      </w:r>
      <w:r>
        <w:rPr>
          <w:rFonts w:ascii="Arial" w:eastAsia="Arial" w:hAnsi="Arial" w:cs="Arial"/>
        </w:rPr>
        <w:t xml:space="preserve">versidades, etc, que proporcionam à comunidade em geral a oportunidade de conhecer o trabalho dos expositores, participação em palestras e encontros com troca de experiências e tecnologias, e ainda, com a possibilidade de realizar vendas. Ainda destaca-se </w:t>
      </w:r>
      <w:r>
        <w:rPr>
          <w:rFonts w:ascii="Arial" w:eastAsia="Arial" w:hAnsi="Arial" w:cs="Arial"/>
        </w:rPr>
        <w:t xml:space="preserve">que, na visão de um respondente, </w:t>
      </w:r>
      <w:r>
        <w:rPr>
          <w:rFonts w:ascii="Arial" w:eastAsia="Arial" w:hAnsi="Arial" w:cs="Arial"/>
          <w:i/>
        </w:rPr>
        <w:t xml:space="preserve">"diferentes setores promovem eventos com foco na inovação. E diversos grupos e/ou entidades se unem para isso” </w:t>
      </w:r>
      <w:r>
        <w:rPr>
          <w:rFonts w:ascii="Arial" w:eastAsia="Arial" w:hAnsi="Arial" w:cs="Arial"/>
        </w:rPr>
        <w:t>(RESPONDENTE 1, 2020).</w:t>
      </w:r>
    </w:p>
    <w:p w14:paraId="000000A2" w14:textId="77777777" w:rsidR="001B2587" w:rsidRDefault="00076C66">
      <w:pPr>
        <w:spacing w:after="0" w:line="360" w:lineRule="auto"/>
        <w:ind w:firstLine="720"/>
        <w:jc w:val="both"/>
        <w:rPr>
          <w:rFonts w:ascii="Arial" w:eastAsia="Arial" w:hAnsi="Arial" w:cs="Arial"/>
        </w:rPr>
      </w:pPr>
      <w:r>
        <w:rPr>
          <w:rFonts w:ascii="Arial" w:eastAsia="Arial" w:hAnsi="Arial" w:cs="Arial"/>
        </w:rPr>
        <w:t>Observa-se na Figura 2, que os principais meios de comunicação e pessoas que publicam sob</w:t>
      </w:r>
      <w:r>
        <w:rPr>
          <w:rFonts w:ascii="Arial" w:eastAsia="Arial" w:hAnsi="Arial" w:cs="Arial"/>
        </w:rPr>
        <w:t>re inovação, indicados pelos 49% dos respondentes, são reconhecidos regionalmente. Os principais meios de comunicação destacados pelos respondentes foram as mídias tradicionais, como imprensa local (jornal impresso, rádios, universidades da região, redes s</w:t>
      </w:r>
      <w:r>
        <w:rPr>
          <w:rFonts w:ascii="Arial" w:eastAsia="Arial" w:hAnsi="Arial" w:cs="Arial"/>
        </w:rPr>
        <w:t>ociais).</w:t>
      </w:r>
    </w:p>
    <w:p w14:paraId="000000A3" w14:textId="77777777" w:rsidR="001B2587" w:rsidRDefault="00076C66">
      <w:pPr>
        <w:spacing w:after="0" w:line="360" w:lineRule="auto"/>
        <w:ind w:firstLine="720"/>
        <w:jc w:val="both"/>
        <w:rPr>
          <w:rFonts w:ascii="Arial" w:eastAsia="Arial" w:hAnsi="Arial" w:cs="Arial"/>
        </w:rPr>
      </w:pPr>
      <w:r>
        <w:rPr>
          <w:rFonts w:ascii="Arial" w:eastAsia="Arial" w:hAnsi="Arial" w:cs="Arial"/>
        </w:rPr>
        <w:t>Por fim, 54% dos respondentes indicam a inexistência de pessoas de referência sobre o tema do empreendedorismo e inovação, ou seja, aquelas pessoas evangelistas e entusiastas sobre o assunto.</w:t>
      </w:r>
    </w:p>
    <w:p w14:paraId="000000A4" w14:textId="77777777" w:rsidR="001B2587" w:rsidRDefault="00076C66">
      <w:pPr>
        <w:spacing w:after="0" w:line="360" w:lineRule="auto"/>
        <w:ind w:firstLine="720"/>
        <w:jc w:val="both"/>
        <w:rPr>
          <w:rFonts w:ascii="Arial" w:eastAsia="Arial" w:hAnsi="Arial" w:cs="Arial"/>
        </w:rPr>
      </w:pPr>
      <w:r>
        <w:rPr>
          <w:rFonts w:ascii="Arial" w:eastAsia="Arial" w:hAnsi="Arial" w:cs="Arial"/>
        </w:rPr>
        <w:t>Para o mapeamento do ecossistema regional de inovação c</w:t>
      </w:r>
      <w:r>
        <w:rPr>
          <w:rFonts w:ascii="Arial" w:eastAsia="Arial" w:hAnsi="Arial" w:cs="Arial"/>
        </w:rPr>
        <w:t>onsidera-se importante analisar a infraestrutura para comportar espaços abertos para a cultura de inovação. Desta forma, em relação à existência de espaços abertos e/ou colaborativos no município, 84% declaram a falta desses espaços. Daqueles que considera</w:t>
      </w:r>
      <w:r>
        <w:rPr>
          <w:rFonts w:ascii="Arial" w:eastAsia="Arial" w:hAnsi="Arial" w:cs="Arial"/>
        </w:rPr>
        <w:t>ram a presença desses espaços, citaram: CIC Teutônia; Oficina 670 - Coworking; Center Group Coworking; Espaço 252; Oficina 670; Tecnovates; Parque Municipal; Tecnovates; BI Machine; Berçário Indústria. Além disso, 56% dos respondentes declararam o desconhe</w:t>
      </w:r>
      <w:r>
        <w:rPr>
          <w:rFonts w:ascii="Arial" w:eastAsia="Arial" w:hAnsi="Arial" w:cs="Arial"/>
        </w:rPr>
        <w:t>cimento de grupos de pessoas que discutem o tema de inovação seja presencial seja virtual, conforme a Figura 3.</w:t>
      </w:r>
    </w:p>
    <w:p w14:paraId="000000A6" w14:textId="77777777" w:rsidR="001B2587" w:rsidRDefault="00076C66">
      <w:pPr>
        <w:spacing w:after="0" w:line="360" w:lineRule="auto"/>
        <w:ind w:firstLine="720"/>
        <w:jc w:val="center"/>
        <w:rPr>
          <w:rFonts w:ascii="Arial" w:eastAsia="Arial" w:hAnsi="Arial" w:cs="Arial"/>
          <w:b/>
          <w:sz w:val="20"/>
          <w:szCs w:val="20"/>
        </w:rPr>
      </w:pPr>
      <w:r>
        <w:rPr>
          <w:rFonts w:ascii="Arial" w:eastAsia="Arial" w:hAnsi="Arial" w:cs="Arial"/>
          <w:b/>
          <w:sz w:val="20"/>
          <w:szCs w:val="20"/>
        </w:rPr>
        <w:lastRenderedPageBreak/>
        <w:t>Figura 3 - Principais Grupos de Discussão sobre Inovação</w:t>
      </w:r>
    </w:p>
    <w:p w14:paraId="000000A7" w14:textId="77777777" w:rsidR="001B2587" w:rsidRDefault="00076C66">
      <w:pPr>
        <w:spacing w:after="0" w:line="360" w:lineRule="auto"/>
        <w:ind w:firstLine="720"/>
        <w:jc w:val="center"/>
        <w:rPr>
          <w:rFonts w:ascii="Arial" w:eastAsia="Arial" w:hAnsi="Arial" w:cs="Arial"/>
          <w:sz w:val="24"/>
          <w:szCs w:val="24"/>
        </w:rPr>
      </w:pPr>
      <w:r>
        <w:rPr>
          <w:rFonts w:ascii="Arial" w:eastAsia="Arial" w:hAnsi="Arial" w:cs="Arial"/>
          <w:noProof/>
          <w:sz w:val="24"/>
          <w:szCs w:val="24"/>
        </w:rPr>
        <w:drawing>
          <wp:inline distT="114300" distB="114300" distL="114300" distR="114300">
            <wp:extent cx="4773113" cy="2401472"/>
            <wp:effectExtent l="0" t="0" r="0" b="0"/>
            <wp:docPr id="1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l="45465" t="35180" r="1555" b="17496"/>
                    <a:stretch>
                      <a:fillRect/>
                    </a:stretch>
                  </pic:blipFill>
                  <pic:spPr>
                    <a:xfrm>
                      <a:off x="0" y="0"/>
                      <a:ext cx="4773113" cy="2401472"/>
                    </a:xfrm>
                    <a:prstGeom prst="rect">
                      <a:avLst/>
                    </a:prstGeom>
                    <a:ln/>
                  </pic:spPr>
                </pic:pic>
              </a:graphicData>
            </a:graphic>
          </wp:inline>
        </w:drawing>
      </w:r>
    </w:p>
    <w:p w14:paraId="000000A8" w14:textId="77777777" w:rsidR="001B2587" w:rsidRDefault="00076C66">
      <w:pPr>
        <w:spacing w:after="0" w:line="360" w:lineRule="auto"/>
        <w:ind w:firstLine="720"/>
        <w:jc w:val="both"/>
        <w:rPr>
          <w:rFonts w:ascii="Arial" w:eastAsia="Arial" w:hAnsi="Arial" w:cs="Arial"/>
        </w:rPr>
      </w:pPr>
      <w:r>
        <w:rPr>
          <w:rFonts w:ascii="Arial" w:eastAsia="Arial" w:hAnsi="Arial" w:cs="Arial"/>
        </w:rPr>
        <w:t>Conforme a Figura 3, os principais grupos de discussão estão voltados para associaçõ</w:t>
      </w:r>
      <w:r>
        <w:rPr>
          <w:rFonts w:ascii="Arial" w:eastAsia="Arial" w:hAnsi="Arial" w:cs="Arial"/>
        </w:rPr>
        <w:t xml:space="preserve">es municipais, secretarias ou grupos de governança da região. Conforme relato de um respondente </w:t>
      </w:r>
      <w:r>
        <w:rPr>
          <w:rFonts w:ascii="Arial" w:eastAsia="Arial" w:hAnsi="Arial" w:cs="Arial"/>
          <w:i/>
        </w:rPr>
        <w:t>“Somente Administração Municipal que encaminhou Projeto à Câmara de Vereadores para criação da Secretaria de Ciência, Tecnologia e Inovação e o Projeto foi reje</w:t>
      </w:r>
      <w:r>
        <w:rPr>
          <w:rFonts w:ascii="Arial" w:eastAsia="Arial" w:hAnsi="Arial" w:cs="Arial"/>
          <w:i/>
        </w:rPr>
        <w:t xml:space="preserve">itado pelos Vereadores.” </w:t>
      </w:r>
      <w:r>
        <w:rPr>
          <w:rFonts w:ascii="Arial" w:eastAsia="Arial" w:hAnsi="Arial" w:cs="Arial"/>
        </w:rPr>
        <w:t>(RESPONDENTE 2, 2020). Sendo assim, percebe-se que ainda está em processo de desenvolvimento os grupos de discussão específicos sobre o tema inovação em cada município da região.</w:t>
      </w:r>
    </w:p>
    <w:p w14:paraId="000000A9" w14:textId="77777777" w:rsidR="001B2587" w:rsidRDefault="00076C66">
      <w:pPr>
        <w:spacing w:after="0" w:line="360" w:lineRule="auto"/>
        <w:ind w:firstLine="720"/>
        <w:jc w:val="both"/>
        <w:rPr>
          <w:rFonts w:ascii="Arial" w:eastAsia="Arial" w:hAnsi="Arial" w:cs="Arial"/>
          <w:b/>
          <w:sz w:val="24"/>
          <w:szCs w:val="24"/>
        </w:rPr>
      </w:pPr>
      <w:r>
        <w:rPr>
          <w:rFonts w:ascii="Arial" w:eastAsia="Arial" w:hAnsi="Arial" w:cs="Arial"/>
        </w:rPr>
        <w:t>Ainda foi questionado sobre os investidores anjos qu</w:t>
      </w:r>
      <w:r>
        <w:rPr>
          <w:rFonts w:ascii="Arial" w:eastAsia="Arial" w:hAnsi="Arial" w:cs="Arial"/>
        </w:rPr>
        <w:t>e têm característica de investir capital financeiro em ideias inovadoras ao mercado. Desta forma, 51% dos respondentes declararam que conhecem empresas e/ou pessoas que possuem essas características. Também observou-se que existem algumas leis aprovadas ou</w:t>
      </w:r>
      <w:r>
        <w:rPr>
          <w:rFonts w:ascii="Arial" w:eastAsia="Arial" w:hAnsi="Arial" w:cs="Arial"/>
        </w:rPr>
        <w:t xml:space="preserve"> em trânsito que facilitam o crescimento de negócios inovadores como, leis de incentivo à instalação de indústrias e empreendedorismo, leis de incentivo para empresas industriais e comerciais, leis de incentivos ambientais e fiscais, lei de ciência, tecnol</w:t>
      </w:r>
      <w:r>
        <w:rPr>
          <w:rFonts w:ascii="Arial" w:eastAsia="Arial" w:hAnsi="Arial" w:cs="Arial"/>
        </w:rPr>
        <w:t>ogia e inovação, entre outras.</w:t>
      </w:r>
    </w:p>
    <w:p w14:paraId="000000AA" w14:textId="77777777" w:rsidR="001B2587" w:rsidRDefault="00076C66">
      <w:pPr>
        <w:spacing w:after="0" w:line="360" w:lineRule="auto"/>
        <w:ind w:firstLine="720"/>
        <w:jc w:val="both"/>
        <w:rPr>
          <w:rFonts w:ascii="Arial" w:eastAsia="Arial" w:hAnsi="Arial" w:cs="Arial"/>
        </w:rPr>
      </w:pPr>
      <w:r>
        <w:rPr>
          <w:rFonts w:ascii="Arial" w:eastAsia="Arial" w:hAnsi="Arial" w:cs="Arial"/>
        </w:rPr>
        <w:t>Algumas leis municipais voltadas à inovação, direta ou indiretamente, conforme a visão de um respondente, observa-se que "as</w:t>
      </w:r>
      <w:r>
        <w:rPr>
          <w:rFonts w:ascii="Arial" w:eastAsia="Arial" w:hAnsi="Arial" w:cs="Arial"/>
          <w:i/>
        </w:rPr>
        <w:t xml:space="preserve"> leis existentes necessitam de revisão para os negócios já existentes e a criação de novas leis para </w:t>
      </w:r>
      <w:r>
        <w:rPr>
          <w:rFonts w:ascii="Arial" w:eastAsia="Arial" w:hAnsi="Arial" w:cs="Arial"/>
          <w:i/>
        </w:rPr>
        <w:t xml:space="preserve">“negócios inovadores” </w:t>
      </w:r>
      <w:r>
        <w:rPr>
          <w:rFonts w:ascii="Arial" w:eastAsia="Arial" w:hAnsi="Arial" w:cs="Arial"/>
          <w:color w:val="FF0000"/>
        </w:rPr>
        <w:t>(</w:t>
      </w:r>
      <w:r>
        <w:rPr>
          <w:rFonts w:ascii="Arial" w:eastAsia="Arial" w:hAnsi="Arial" w:cs="Arial"/>
        </w:rPr>
        <w:t>RESPONDENTE 3, 2020). Ou seja, existem poucas leis específicas para inovação, tanto que ao questionar sobre algum programa de incentivo para negócios inovadores, 68% dos respondentes declararam a inexistência do mesmo.</w:t>
      </w:r>
    </w:p>
    <w:p w14:paraId="000000AB" w14:textId="77777777" w:rsidR="001B2587" w:rsidRDefault="00076C66">
      <w:pPr>
        <w:spacing w:after="0" w:line="360" w:lineRule="auto"/>
        <w:ind w:firstLine="720"/>
        <w:jc w:val="both"/>
        <w:rPr>
          <w:rFonts w:ascii="Arial" w:eastAsia="Arial" w:hAnsi="Arial" w:cs="Arial"/>
        </w:rPr>
      </w:pPr>
      <w:r>
        <w:rPr>
          <w:rFonts w:ascii="Arial" w:eastAsia="Arial" w:hAnsi="Arial" w:cs="Arial"/>
        </w:rPr>
        <w:t>Para compreend</w:t>
      </w:r>
      <w:r>
        <w:rPr>
          <w:rFonts w:ascii="Arial" w:eastAsia="Arial" w:hAnsi="Arial" w:cs="Arial"/>
        </w:rPr>
        <w:t>er a identificação de talentos e acesso ao mercado ao mapeamento do ecossistema regional de inovação, 51% declararam a existência de instituições de formação técnicas no município, conforme apresentado na Figura 4.</w:t>
      </w:r>
    </w:p>
    <w:p w14:paraId="000000AC" w14:textId="5AF9E159" w:rsidR="001B2587" w:rsidRDefault="001B2587">
      <w:pPr>
        <w:spacing w:after="0" w:line="360" w:lineRule="auto"/>
        <w:ind w:firstLine="720"/>
        <w:jc w:val="center"/>
        <w:rPr>
          <w:rFonts w:ascii="Arial" w:eastAsia="Arial" w:hAnsi="Arial" w:cs="Arial"/>
          <w:b/>
          <w:sz w:val="20"/>
          <w:szCs w:val="20"/>
        </w:rPr>
      </w:pPr>
    </w:p>
    <w:p w14:paraId="3F46FE7B" w14:textId="219D84C9" w:rsidR="00076C66" w:rsidRDefault="00076C66">
      <w:pPr>
        <w:spacing w:after="0" w:line="360" w:lineRule="auto"/>
        <w:ind w:firstLine="720"/>
        <w:jc w:val="center"/>
        <w:rPr>
          <w:rFonts w:ascii="Arial" w:eastAsia="Arial" w:hAnsi="Arial" w:cs="Arial"/>
          <w:b/>
          <w:sz w:val="20"/>
          <w:szCs w:val="20"/>
        </w:rPr>
      </w:pPr>
    </w:p>
    <w:p w14:paraId="32FBCD2A" w14:textId="77777777" w:rsidR="00076C66" w:rsidRDefault="00076C66">
      <w:pPr>
        <w:spacing w:after="0" w:line="360" w:lineRule="auto"/>
        <w:ind w:firstLine="720"/>
        <w:jc w:val="center"/>
        <w:rPr>
          <w:rFonts w:ascii="Arial" w:eastAsia="Arial" w:hAnsi="Arial" w:cs="Arial"/>
          <w:b/>
          <w:sz w:val="20"/>
          <w:szCs w:val="20"/>
        </w:rPr>
      </w:pPr>
      <w:bookmarkStart w:id="13" w:name="_GoBack"/>
      <w:bookmarkEnd w:id="13"/>
    </w:p>
    <w:p w14:paraId="000000AD" w14:textId="77777777" w:rsidR="001B2587" w:rsidRDefault="00076C66">
      <w:pPr>
        <w:spacing w:after="0" w:line="360" w:lineRule="auto"/>
        <w:ind w:firstLine="720"/>
        <w:jc w:val="center"/>
        <w:rPr>
          <w:rFonts w:ascii="Arial" w:eastAsia="Arial" w:hAnsi="Arial" w:cs="Arial"/>
          <w:b/>
          <w:sz w:val="20"/>
          <w:szCs w:val="20"/>
        </w:rPr>
      </w:pPr>
      <w:bookmarkStart w:id="14" w:name="_heading=h.gjdgxs" w:colFirst="0" w:colLast="0"/>
      <w:bookmarkEnd w:id="14"/>
      <w:r>
        <w:rPr>
          <w:rFonts w:ascii="Arial" w:eastAsia="Arial" w:hAnsi="Arial" w:cs="Arial"/>
          <w:b/>
          <w:sz w:val="20"/>
          <w:szCs w:val="20"/>
        </w:rPr>
        <w:lastRenderedPageBreak/>
        <w:t>Figura 4 - Principais Instituições de Fo</w:t>
      </w:r>
      <w:r>
        <w:rPr>
          <w:rFonts w:ascii="Arial" w:eastAsia="Arial" w:hAnsi="Arial" w:cs="Arial"/>
          <w:b/>
          <w:sz w:val="20"/>
          <w:szCs w:val="20"/>
        </w:rPr>
        <w:t>rmação Técnica</w:t>
      </w:r>
    </w:p>
    <w:p w14:paraId="000000AE" w14:textId="77777777" w:rsidR="001B2587" w:rsidRDefault="00076C66">
      <w:pPr>
        <w:spacing w:after="0" w:line="360" w:lineRule="auto"/>
        <w:ind w:firstLine="720"/>
        <w:jc w:val="center"/>
        <w:rPr>
          <w:rFonts w:ascii="Arial" w:eastAsia="Arial" w:hAnsi="Arial" w:cs="Arial"/>
          <w:sz w:val="24"/>
          <w:szCs w:val="24"/>
        </w:rPr>
      </w:pPr>
      <w:r>
        <w:rPr>
          <w:rFonts w:ascii="Arial" w:eastAsia="Arial" w:hAnsi="Arial" w:cs="Arial"/>
          <w:b/>
          <w:noProof/>
          <w:sz w:val="24"/>
          <w:szCs w:val="24"/>
        </w:rPr>
        <w:drawing>
          <wp:inline distT="114300" distB="114300" distL="114300" distR="114300">
            <wp:extent cx="4038392" cy="2344238"/>
            <wp:effectExtent l="0" t="0" r="0" b="0"/>
            <wp:docPr id="1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l="45797" t="31356" r="1972" b="14842"/>
                    <a:stretch>
                      <a:fillRect/>
                    </a:stretch>
                  </pic:blipFill>
                  <pic:spPr>
                    <a:xfrm>
                      <a:off x="0" y="0"/>
                      <a:ext cx="4038392" cy="2344238"/>
                    </a:xfrm>
                    <a:prstGeom prst="rect">
                      <a:avLst/>
                    </a:prstGeom>
                    <a:ln/>
                  </pic:spPr>
                </pic:pic>
              </a:graphicData>
            </a:graphic>
          </wp:inline>
        </w:drawing>
      </w:r>
    </w:p>
    <w:p w14:paraId="000000AF" w14:textId="77777777" w:rsidR="001B2587" w:rsidRDefault="00076C66">
      <w:pPr>
        <w:spacing w:after="0" w:line="360" w:lineRule="auto"/>
        <w:ind w:firstLine="720"/>
        <w:jc w:val="both"/>
        <w:rPr>
          <w:rFonts w:ascii="Arial" w:eastAsia="Arial" w:hAnsi="Arial" w:cs="Arial"/>
        </w:rPr>
      </w:pPr>
      <w:r>
        <w:rPr>
          <w:rFonts w:ascii="Arial" w:eastAsia="Arial" w:hAnsi="Arial" w:cs="Arial"/>
        </w:rPr>
        <w:t>Observa-se na Figura 4, que as instituições de ciência e tecnologia são as principais da região, como Senai, Univates, IFSul, Senac, entre outras. Por fim, foi analisado se existem empresas que buscam soluções inovadoras externas para ajudar no crescimento</w:t>
      </w:r>
      <w:r>
        <w:rPr>
          <w:rFonts w:ascii="Arial" w:eastAsia="Arial" w:hAnsi="Arial" w:cs="Arial"/>
        </w:rPr>
        <w:t xml:space="preserve"> da mesma, sendo que 57% dos responderam desconhecem essa informação. Daqueles que responderam que conhecem, citaram algumas empresas, conforme lista abaixo:</w:t>
      </w:r>
    </w:p>
    <w:p w14:paraId="000000B0" w14:textId="77777777" w:rsidR="001B2587" w:rsidRDefault="001B2587">
      <w:pPr>
        <w:spacing w:after="0" w:line="360" w:lineRule="auto"/>
        <w:ind w:firstLine="720"/>
        <w:jc w:val="both"/>
        <w:rPr>
          <w:rFonts w:ascii="Arial" w:eastAsia="Arial" w:hAnsi="Arial" w:cs="Arial"/>
        </w:rPr>
      </w:pPr>
    </w:p>
    <w:p w14:paraId="000000B1" w14:textId="77777777" w:rsidR="001B2587" w:rsidRDefault="00076C66">
      <w:pPr>
        <w:numPr>
          <w:ilvl w:val="0"/>
          <w:numId w:val="1"/>
        </w:numPr>
        <w:spacing w:after="0" w:line="360" w:lineRule="auto"/>
        <w:ind w:firstLine="720"/>
        <w:jc w:val="both"/>
        <w:rPr>
          <w:rFonts w:ascii="Arial" w:eastAsia="Arial" w:hAnsi="Arial" w:cs="Arial"/>
        </w:rPr>
      </w:pPr>
      <w:r>
        <w:rPr>
          <w:rFonts w:ascii="Arial" w:eastAsia="Arial" w:hAnsi="Arial" w:cs="Arial"/>
        </w:rPr>
        <w:t>Tecnovates;</w:t>
      </w:r>
    </w:p>
    <w:p w14:paraId="000000B2" w14:textId="77777777" w:rsidR="001B2587" w:rsidRDefault="00076C66">
      <w:pPr>
        <w:numPr>
          <w:ilvl w:val="0"/>
          <w:numId w:val="1"/>
        </w:numPr>
        <w:spacing w:after="0" w:line="360" w:lineRule="auto"/>
        <w:ind w:firstLine="720"/>
        <w:jc w:val="both"/>
        <w:rPr>
          <w:rFonts w:ascii="Arial" w:eastAsia="Arial" w:hAnsi="Arial" w:cs="Arial"/>
        </w:rPr>
      </w:pPr>
      <w:r>
        <w:rPr>
          <w:rFonts w:ascii="Arial" w:eastAsia="Arial" w:hAnsi="Arial" w:cs="Arial"/>
        </w:rPr>
        <w:t>Entidades Representativas (CACISS E SINDILOJAS);</w:t>
      </w:r>
    </w:p>
    <w:p w14:paraId="000000B3" w14:textId="77777777" w:rsidR="001B2587" w:rsidRDefault="00076C66">
      <w:pPr>
        <w:numPr>
          <w:ilvl w:val="0"/>
          <w:numId w:val="1"/>
        </w:numPr>
        <w:spacing w:after="0" w:line="360" w:lineRule="auto"/>
        <w:ind w:firstLine="720"/>
        <w:jc w:val="both"/>
        <w:rPr>
          <w:rFonts w:ascii="Arial" w:eastAsia="Arial" w:hAnsi="Arial" w:cs="Arial"/>
        </w:rPr>
      </w:pPr>
      <w:r>
        <w:rPr>
          <w:rFonts w:ascii="Arial" w:eastAsia="Arial" w:hAnsi="Arial" w:cs="Arial"/>
        </w:rPr>
        <w:t>BI Machine;</w:t>
      </w:r>
    </w:p>
    <w:p w14:paraId="000000B4" w14:textId="77777777" w:rsidR="001B2587" w:rsidRDefault="00076C66">
      <w:pPr>
        <w:numPr>
          <w:ilvl w:val="0"/>
          <w:numId w:val="1"/>
        </w:numPr>
        <w:spacing w:after="0" w:line="360" w:lineRule="auto"/>
        <w:ind w:firstLine="720"/>
        <w:jc w:val="both"/>
        <w:rPr>
          <w:rFonts w:ascii="Arial" w:eastAsia="Arial" w:hAnsi="Arial" w:cs="Arial"/>
        </w:rPr>
      </w:pPr>
      <w:r>
        <w:rPr>
          <w:rFonts w:ascii="Arial" w:eastAsia="Arial" w:hAnsi="Arial" w:cs="Arial"/>
        </w:rPr>
        <w:t>Interact;</w:t>
      </w:r>
    </w:p>
    <w:p w14:paraId="000000B5" w14:textId="77777777" w:rsidR="001B2587" w:rsidRDefault="00076C66">
      <w:pPr>
        <w:numPr>
          <w:ilvl w:val="0"/>
          <w:numId w:val="1"/>
        </w:numPr>
        <w:spacing w:after="0" w:line="360" w:lineRule="auto"/>
        <w:ind w:firstLine="720"/>
        <w:jc w:val="both"/>
        <w:rPr>
          <w:rFonts w:ascii="Arial" w:eastAsia="Arial" w:hAnsi="Arial" w:cs="Arial"/>
        </w:rPr>
      </w:pPr>
      <w:r>
        <w:rPr>
          <w:rFonts w:ascii="Arial" w:eastAsia="Arial" w:hAnsi="Arial" w:cs="Arial"/>
        </w:rPr>
        <w:t>Fruki;</w:t>
      </w:r>
    </w:p>
    <w:p w14:paraId="000000B6" w14:textId="77777777" w:rsidR="001B2587" w:rsidRDefault="00076C66">
      <w:pPr>
        <w:numPr>
          <w:ilvl w:val="0"/>
          <w:numId w:val="1"/>
        </w:numPr>
        <w:spacing w:after="0" w:line="360" w:lineRule="auto"/>
        <w:ind w:firstLine="720"/>
        <w:jc w:val="both"/>
        <w:rPr>
          <w:rFonts w:ascii="Arial" w:eastAsia="Arial" w:hAnsi="Arial" w:cs="Arial"/>
        </w:rPr>
      </w:pPr>
      <w:r>
        <w:rPr>
          <w:rFonts w:ascii="Arial" w:eastAsia="Arial" w:hAnsi="Arial" w:cs="Arial"/>
        </w:rPr>
        <w:t>Docile;</w:t>
      </w:r>
    </w:p>
    <w:p w14:paraId="000000B7" w14:textId="77777777" w:rsidR="001B2587" w:rsidRDefault="00076C66">
      <w:pPr>
        <w:numPr>
          <w:ilvl w:val="0"/>
          <w:numId w:val="1"/>
        </w:numPr>
        <w:spacing w:after="0" w:line="360" w:lineRule="auto"/>
        <w:ind w:firstLine="720"/>
        <w:jc w:val="both"/>
        <w:rPr>
          <w:rFonts w:ascii="Arial" w:eastAsia="Arial" w:hAnsi="Arial" w:cs="Arial"/>
        </w:rPr>
      </w:pPr>
      <w:r>
        <w:rPr>
          <w:rFonts w:ascii="Arial" w:eastAsia="Arial" w:hAnsi="Arial" w:cs="Arial"/>
        </w:rPr>
        <w:t>STW Soluções;</w:t>
      </w:r>
    </w:p>
    <w:p w14:paraId="000000B8" w14:textId="77777777" w:rsidR="001B2587" w:rsidRDefault="00076C66">
      <w:pPr>
        <w:numPr>
          <w:ilvl w:val="0"/>
          <w:numId w:val="1"/>
        </w:numPr>
        <w:spacing w:after="0" w:line="360" w:lineRule="auto"/>
        <w:ind w:firstLine="720"/>
        <w:jc w:val="both"/>
        <w:rPr>
          <w:rFonts w:ascii="Arial" w:eastAsia="Arial" w:hAnsi="Arial" w:cs="Arial"/>
        </w:rPr>
      </w:pPr>
      <w:r>
        <w:rPr>
          <w:rFonts w:ascii="Arial" w:eastAsia="Arial" w:hAnsi="Arial" w:cs="Arial"/>
        </w:rPr>
        <w:t>Balas Florestal;</w:t>
      </w:r>
    </w:p>
    <w:p w14:paraId="000000B9" w14:textId="77777777" w:rsidR="001B2587" w:rsidRDefault="00076C66">
      <w:pPr>
        <w:numPr>
          <w:ilvl w:val="0"/>
          <w:numId w:val="1"/>
        </w:numPr>
        <w:spacing w:after="0" w:line="360" w:lineRule="auto"/>
        <w:ind w:firstLine="720"/>
        <w:jc w:val="both"/>
        <w:rPr>
          <w:rFonts w:ascii="Arial" w:eastAsia="Arial" w:hAnsi="Arial" w:cs="Arial"/>
        </w:rPr>
      </w:pPr>
      <w:r>
        <w:rPr>
          <w:rFonts w:ascii="Arial" w:eastAsia="Arial" w:hAnsi="Arial" w:cs="Arial"/>
        </w:rPr>
        <w:t>Cooperativa de Eletrificação Teutônia Ltda.;</w:t>
      </w:r>
    </w:p>
    <w:p w14:paraId="000000BA" w14:textId="77777777" w:rsidR="001B2587" w:rsidRDefault="00076C66">
      <w:pPr>
        <w:numPr>
          <w:ilvl w:val="0"/>
          <w:numId w:val="1"/>
        </w:numPr>
        <w:spacing w:after="0" w:line="360" w:lineRule="auto"/>
        <w:ind w:firstLine="720"/>
        <w:jc w:val="both"/>
        <w:rPr>
          <w:rFonts w:ascii="Arial" w:eastAsia="Arial" w:hAnsi="Arial" w:cs="Arial"/>
        </w:rPr>
      </w:pPr>
      <w:r>
        <w:rPr>
          <w:rFonts w:ascii="Arial" w:eastAsia="Arial" w:hAnsi="Arial" w:cs="Arial"/>
        </w:rPr>
        <w:t>Marcenaria Matanna;</w:t>
      </w:r>
    </w:p>
    <w:p w14:paraId="000000BB" w14:textId="77777777" w:rsidR="001B2587" w:rsidRDefault="00076C66">
      <w:pPr>
        <w:numPr>
          <w:ilvl w:val="0"/>
          <w:numId w:val="1"/>
        </w:numPr>
        <w:spacing w:after="0" w:line="360" w:lineRule="auto"/>
        <w:ind w:firstLine="720"/>
        <w:jc w:val="both"/>
        <w:rPr>
          <w:rFonts w:ascii="Arial" w:eastAsia="Arial" w:hAnsi="Arial" w:cs="Arial"/>
        </w:rPr>
      </w:pPr>
      <w:r>
        <w:rPr>
          <w:rFonts w:ascii="Arial" w:eastAsia="Arial" w:hAnsi="Arial" w:cs="Arial"/>
        </w:rPr>
        <w:t>Carnes de Bona;</w:t>
      </w:r>
    </w:p>
    <w:p w14:paraId="000000BC" w14:textId="77777777" w:rsidR="001B2587" w:rsidRDefault="00076C66">
      <w:pPr>
        <w:numPr>
          <w:ilvl w:val="0"/>
          <w:numId w:val="1"/>
        </w:numPr>
        <w:spacing w:after="0" w:line="360" w:lineRule="auto"/>
        <w:ind w:firstLine="720"/>
        <w:jc w:val="both"/>
        <w:rPr>
          <w:rFonts w:ascii="Arial" w:eastAsia="Arial" w:hAnsi="Arial" w:cs="Arial"/>
        </w:rPr>
      </w:pPr>
      <w:r>
        <w:rPr>
          <w:rFonts w:ascii="Arial" w:eastAsia="Arial" w:hAnsi="Arial" w:cs="Arial"/>
        </w:rPr>
        <w:t xml:space="preserve">MADIL; </w:t>
      </w:r>
    </w:p>
    <w:p w14:paraId="000000BD" w14:textId="77777777" w:rsidR="001B2587" w:rsidRDefault="00076C66">
      <w:pPr>
        <w:numPr>
          <w:ilvl w:val="0"/>
          <w:numId w:val="1"/>
        </w:numPr>
        <w:spacing w:after="0" w:line="360" w:lineRule="auto"/>
        <w:ind w:firstLine="720"/>
        <w:jc w:val="both"/>
        <w:rPr>
          <w:rFonts w:ascii="Arial" w:eastAsia="Arial" w:hAnsi="Arial" w:cs="Arial"/>
        </w:rPr>
      </w:pPr>
      <w:r>
        <w:rPr>
          <w:rFonts w:ascii="Arial" w:eastAsia="Arial" w:hAnsi="Arial" w:cs="Arial"/>
        </w:rPr>
        <w:t>Medlive - health care/logística;</w:t>
      </w:r>
    </w:p>
    <w:p w14:paraId="000000BE" w14:textId="77777777" w:rsidR="001B2587" w:rsidRDefault="00076C66">
      <w:pPr>
        <w:numPr>
          <w:ilvl w:val="0"/>
          <w:numId w:val="1"/>
        </w:numPr>
        <w:spacing w:after="0" w:line="360" w:lineRule="auto"/>
        <w:ind w:firstLine="720"/>
        <w:jc w:val="both"/>
        <w:rPr>
          <w:rFonts w:ascii="Arial" w:eastAsia="Arial" w:hAnsi="Arial" w:cs="Arial"/>
        </w:rPr>
      </w:pPr>
      <w:r>
        <w:rPr>
          <w:rFonts w:ascii="Arial" w:eastAsia="Arial" w:hAnsi="Arial" w:cs="Arial"/>
        </w:rPr>
        <w:t>MCW - logística</w:t>
      </w:r>
    </w:p>
    <w:p w14:paraId="000000BF" w14:textId="77777777" w:rsidR="001B2587" w:rsidRDefault="00076C66">
      <w:pPr>
        <w:numPr>
          <w:ilvl w:val="0"/>
          <w:numId w:val="1"/>
        </w:numPr>
        <w:spacing w:after="0" w:line="360" w:lineRule="auto"/>
        <w:ind w:firstLine="720"/>
        <w:jc w:val="both"/>
        <w:rPr>
          <w:rFonts w:ascii="Arial" w:eastAsia="Arial" w:hAnsi="Arial" w:cs="Arial"/>
        </w:rPr>
      </w:pPr>
      <w:r>
        <w:rPr>
          <w:rFonts w:ascii="Arial" w:eastAsia="Arial" w:hAnsi="Arial" w:cs="Arial"/>
        </w:rPr>
        <w:t>CVI - logística;</w:t>
      </w:r>
    </w:p>
    <w:p w14:paraId="000000C0" w14:textId="77777777" w:rsidR="001B2587" w:rsidRDefault="00076C66">
      <w:pPr>
        <w:numPr>
          <w:ilvl w:val="0"/>
          <w:numId w:val="1"/>
        </w:numPr>
        <w:spacing w:after="0" w:line="360" w:lineRule="auto"/>
        <w:ind w:firstLine="720"/>
        <w:jc w:val="both"/>
        <w:rPr>
          <w:rFonts w:ascii="Arial" w:eastAsia="Arial" w:hAnsi="Arial" w:cs="Arial"/>
        </w:rPr>
      </w:pPr>
      <w:r>
        <w:rPr>
          <w:rFonts w:ascii="Arial" w:eastAsia="Arial" w:hAnsi="Arial" w:cs="Arial"/>
        </w:rPr>
        <w:t xml:space="preserve">Ferros Castro - logística; </w:t>
      </w:r>
    </w:p>
    <w:p w14:paraId="000000C1" w14:textId="77777777" w:rsidR="001B2587" w:rsidRDefault="00076C66">
      <w:pPr>
        <w:numPr>
          <w:ilvl w:val="0"/>
          <w:numId w:val="1"/>
        </w:numPr>
        <w:spacing w:after="0" w:line="360" w:lineRule="auto"/>
        <w:ind w:firstLine="720"/>
        <w:jc w:val="both"/>
        <w:rPr>
          <w:rFonts w:ascii="Arial" w:eastAsia="Arial" w:hAnsi="Arial" w:cs="Arial"/>
        </w:rPr>
      </w:pPr>
      <w:r>
        <w:rPr>
          <w:rFonts w:ascii="Arial" w:eastAsia="Arial" w:hAnsi="Arial" w:cs="Arial"/>
        </w:rPr>
        <w:t xml:space="preserve">MultiPet; </w:t>
      </w:r>
    </w:p>
    <w:p w14:paraId="000000C2" w14:textId="77777777" w:rsidR="001B2587" w:rsidRDefault="00076C66">
      <w:pPr>
        <w:numPr>
          <w:ilvl w:val="0"/>
          <w:numId w:val="1"/>
        </w:numPr>
        <w:spacing w:after="0" w:line="360" w:lineRule="auto"/>
        <w:ind w:firstLine="720"/>
        <w:jc w:val="both"/>
        <w:rPr>
          <w:rFonts w:ascii="Arial" w:eastAsia="Arial" w:hAnsi="Arial" w:cs="Arial"/>
        </w:rPr>
      </w:pPr>
      <w:r>
        <w:rPr>
          <w:rFonts w:ascii="Arial" w:eastAsia="Arial" w:hAnsi="Arial" w:cs="Arial"/>
        </w:rPr>
        <w:t>Fábrica de Móveis Prois;</w:t>
      </w:r>
    </w:p>
    <w:p w14:paraId="000000C3" w14:textId="77777777" w:rsidR="001B2587" w:rsidRDefault="00076C66">
      <w:pPr>
        <w:numPr>
          <w:ilvl w:val="0"/>
          <w:numId w:val="1"/>
        </w:numPr>
        <w:spacing w:after="0" w:line="360" w:lineRule="auto"/>
        <w:ind w:firstLine="720"/>
        <w:jc w:val="both"/>
        <w:rPr>
          <w:rFonts w:ascii="Arial" w:eastAsia="Arial" w:hAnsi="Arial" w:cs="Arial"/>
        </w:rPr>
      </w:pPr>
      <w:r>
        <w:rPr>
          <w:rFonts w:ascii="Arial" w:eastAsia="Arial" w:hAnsi="Arial" w:cs="Arial"/>
        </w:rPr>
        <w:t>Villa</w:t>
      </w:r>
      <w:r>
        <w:rPr>
          <w:rFonts w:ascii="Arial" w:eastAsia="Arial" w:hAnsi="Arial" w:cs="Arial"/>
        </w:rPr>
        <w:t xml:space="preserve"> Tigre - Fábrica de Calçados;</w:t>
      </w:r>
    </w:p>
    <w:p w14:paraId="000000C4" w14:textId="77777777" w:rsidR="001B2587" w:rsidRDefault="00076C66">
      <w:pPr>
        <w:numPr>
          <w:ilvl w:val="0"/>
          <w:numId w:val="1"/>
        </w:numPr>
        <w:spacing w:after="0" w:line="360" w:lineRule="auto"/>
        <w:ind w:firstLine="720"/>
        <w:jc w:val="both"/>
        <w:rPr>
          <w:rFonts w:ascii="Arial" w:eastAsia="Arial" w:hAnsi="Arial" w:cs="Arial"/>
        </w:rPr>
      </w:pPr>
      <w:r>
        <w:rPr>
          <w:rFonts w:ascii="Arial" w:eastAsia="Arial" w:hAnsi="Arial" w:cs="Arial"/>
        </w:rPr>
        <w:t>Global Net;</w:t>
      </w:r>
    </w:p>
    <w:p w14:paraId="000000C5" w14:textId="77777777" w:rsidR="001B2587" w:rsidRDefault="00076C66">
      <w:pPr>
        <w:numPr>
          <w:ilvl w:val="0"/>
          <w:numId w:val="1"/>
        </w:numPr>
        <w:spacing w:after="0" w:line="360" w:lineRule="auto"/>
        <w:ind w:firstLine="720"/>
        <w:jc w:val="both"/>
        <w:rPr>
          <w:rFonts w:ascii="Arial" w:eastAsia="Arial" w:hAnsi="Arial" w:cs="Arial"/>
        </w:rPr>
      </w:pPr>
      <w:r>
        <w:rPr>
          <w:rFonts w:ascii="Arial" w:eastAsia="Arial" w:hAnsi="Arial" w:cs="Arial"/>
        </w:rPr>
        <w:lastRenderedPageBreak/>
        <w:t>Visão Informática;</w:t>
      </w:r>
    </w:p>
    <w:p w14:paraId="000000C6" w14:textId="77777777" w:rsidR="001B2587" w:rsidRDefault="00076C66">
      <w:pPr>
        <w:numPr>
          <w:ilvl w:val="0"/>
          <w:numId w:val="1"/>
        </w:numPr>
        <w:spacing w:after="0" w:line="360" w:lineRule="auto"/>
        <w:ind w:firstLine="720"/>
        <w:jc w:val="both"/>
        <w:rPr>
          <w:rFonts w:ascii="Arial" w:eastAsia="Arial" w:hAnsi="Arial" w:cs="Arial"/>
        </w:rPr>
      </w:pPr>
      <w:r>
        <w:rPr>
          <w:rFonts w:ascii="Arial" w:eastAsia="Arial" w:hAnsi="Arial" w:cs="Arial"/>
        </w:rPr>
        <w:t>Interativa Informática;</w:t>
      </w:r>
    </w:p>
    <w:p w14:paraId="000000C7" w14:textId="77777777" w:rsidR="001B2587" w:rsidRDefault="00076C66">
      <w:pPr>
        <w:numPr>
          <w:ilvl w:val="0"/>
          <w:numId w:val="1"/>
        </w:numPr>
        <w:spacing w:after="0" w:line="360" w:lineRule="auto"/>
        <w:ind w:firstLine="720"/>
        <w:jc w:val="both"/>
        <w:rPr>
          <w:rFonts w:ascii="Arial" w:eastAsia="Arial" w:hAnsi="Arial" w:cs="Arial"/>
        </w:rPr>
      </w:pPr>
      <w:r>
        <w:rPr>
          <w:rFonts w:ascii="Arial" w:eastAsia="Arial" w:hAnsi="Arial" w:cs="Arial"/>
        </w:rPr>
        <w:t>Biscoitos Ruschel</w:t>
      </w:r>
    </w:p>
    <w:p w14:paraId="000000C8" w14:textId="77777777" w:rsidR="001B2587" w:rsidRDefault="00076C66">
      <w:pPr>
        <w:numPr>
          <w:ilvl w:val="0"/>
          <w:numId w:val="1"/>
        </w:numPr>
        <w:spacing w:after="0" w:line="360" w:lineRule="auto"/>
        <w:ind w:firstLine="720"/>
        <w:jc w:val="both"/>
        <w:rPr>
          <w:rFonts w:ascii="Arial" w:eastAsia="Arial" w:hAnsi="Arial" w:cs="Arial"/>
        </w:rPr>
      </w:pPr>
      <w:r>
        <w:rPr>
          <w:rFonts w:ascii="Arial" w:eastAsia="Arial" w:hAnsi="Arial" w:cs="Arial"/>
        </w:rPr>
        <w:t>Fussinger Indústria de Alimentos</w:t>
      </w:r>
    </w:p>
    <w:p w14:paraId="000000C9" w14:textId="77777777" w:rsidR="001B2587" w:rsidRDefault="00076C66">
      <w:pPr>
        <w:numPr>
          <w:ilvl w:val="0"/>
          <w:numId w:val="1"/>
        </w:numPr>
        <w:spacing w:after="0" w:line="360" w:lineRule="auto"/>
        <w:ind w:firstLine="720"/>
        <w:jc w:val="both"/>
        <w:rPr>
          <w:rFonts w:ascii="Arial" w:eastAsia="Arial" w:hAnsi="Arial" w:cs="Arial"/>
        </w:rPr>
      </w:pPr>
      <w:r>
        <w:rPr>
          <w:rFonts w:ascii="Arial" w:eastAsia="Arial" w:hAnsi="Arial" w:cs="Arial"/>
        </w:rPr>
        <w:t>Sicredi;</w:t>
      </w:r>
    </w:p>
    <w:p w14:paraId="000000CA" w14:textId="77777777" w:rsidR="001B2587" w:rsidRDefault="00076C66">
      <w:pPr>
        <w:numPr>
          <w:ilvl w:val="0"/>
          <w:numId w:val="1"/>
        </w:numPr>
        <w:spacing w:after="0" w:line="360" w:lineRule="auto"/>
        <w:ind w:firstLine="720"/>
        <w:jc w:val="both"/>
        <w:rPr>
          <w:rFonts w:ascii="Arial" w:eastAsia="Arial" w:hAnsi="Arial" w:cs="Arial"/>
        </w:rPr>
      </w:pPr>
      <w:r>
        <w:rPr>
          <w:rFonts w:ascii="Arial" w:eastAsia="Arial" w:hAnsi="Arial" w:cs="Arial"/>
        </w:rPr>
        <w:t>América Sociedade Avícola;</w:t>
      </w:r>
    </w:p>
    <w:p w14:paraId="000000CB" w14:textId="77777777" w:rsidR="001B2587" w:rsidRDefault="00076C66">
      <w:pPr>
        <w:numPr>
          <w:ilvl w:val="0"/>
          <w:numId w:val="1"/>
        </w:numPr>
        <w:spacing w:after="0" w:line="360" w:lineRule="auto"/>
        <w:ind w:firstLine="720"/>
        <w:jc w:val="both"/>
        <w:rPr>
          <w:rFonts w:ascii="Arial" w:eastAsia="Arial" w:hAnsi="Arial" w:cs="Arial"/>
        </w:rPr>
      </w:pPr>
      <w:r>
        <w:rPr>
          <w:rFonts w:ascii="Arial" w:eastAsia="Arial" w:hAnsi="Arial" w:cs="Arial"/>
        </w:rPr>
        <w:t>Fumageiras Multinacionais (JTI, Souza Cruz, Philip Morris);</w:t>
      </w:r>
    </w:p>
    <w:p w14:paraId="000000CC" w14:textId="77777777" w:rsidR="001B2587" w:rsidRDefault="00076C66">
      <w:pPr>
        <w:numPr>
          <w:ilvl w:val="0"/>
          <w:numId w:val="1"/>
        </w:numPr>
        <w:spacing w:after="0" w:line="360" w:lineRule="auto"/>
        <w:ind w:firstLine="720"/>
        <w:jc w:val="both"/>
        <w:rPr>
          <w:rFonts w:ascii="Arial" w:eastAsia="Arial" w:hAnsi="Arial" w:cs="Arial"/>
        </w:rPr>
      </w:pPr>
      <w:r>
        <w:rPr>
          <w:rFonts w:ascii="Arial" w:eastAsia="Arial" w:hAnsi="Arial" w:cs="Arial"/>
        </w:rPr>
        <w:t xml:space="preserve">Tramontina; </w:t>
      </w:r>
    </w:p>
    <w:p w14:paraId="000000CD" w14:textId="77777777" w:rsidR="001B2587" w:rsidRDefault="00076C66">
      <w:pPr>
        <w:numPr>
          <w:ilvl w:val="0"/>
          <w:numId w:val="1"/>
        </w:numPr>
        <w:spacing w:after="0" w:line="360" w:lineRule="auto"/>
        <w:ind w:firstLine="720"/>
        <w:jc w:val="both"/>
        <w:rPr>
          <w:rFonts w:ascii="Arial" w:eastAsia="Arial" w:hAnsi="Arial" w:cs="Arial"/>
        </w:rPr>
      </w:pPr>
      <w:r>
        <w:rPr>
          <w:rFonts w:ascii="Arial" w:eastAsia="Arial" w:hAnsi="Arial" w:cs="Arial"/>
        </w:rPr>
        <w:t>Unimed VTRP</w:t>
      </w:r>
      <w:r>
        <w:rPr>
          <w:rFonts w:ascii="Arial" w:eastAsia="Arial" w:hAnsi="Arial" w:cs="Arial"/>
        </w:rPr>
        <w:t>.</w:t>
      </w:r>
    </w:p>
    <w:p w14:paraId="000000CE" w14:textId="77777777" w:rsidR="001B2587" w:rsidRDefault="00076C66">
      <w:pPr>
        <w:spacing w:after="0" w:line="360" w:lineRule="auto"/>
        <w:ind w:firstLine="720"/>
        <w:jc w:val="both"/>
        <w:rPr>
          <w:rFonts w:ascii="Arial" w:eastAsia="Arial" w:hAnsi="Arial" w:cs="Arial"/>
        </w:rPr>
      </w:pPr>
      <w:r>
        <w:rPr>
          <w:rFonts w:ascii="Arial" w:eastAsia="Arial" w:hAnsi="Arial" w:cs="Arial"/>
        </w:rPr>
        <w:t>Desta forma, observa-se que as empresas referências para busca de soluções inovadoras costumam ter características de grandes empresas e as mesmas consolidadas no mercado. Segundo Korobinski (2001) para que a empresa de hoje seja competitiva ela precisa te</w:t>
      </w:r>
      <w:r>
        <w:rPr>
          <w:rFonts w:ascii="Arial" w:eastAsia="Arial" w:hAnsi="Arial" w:cs="Arial"/>
        </w:rPr>
        <w:t>r pessoas da melhor qualidade, tecnologia e espaço no mercado, pois é através da viabilização de talentos que nasce a criatividade, cresce a motivação, aumenta o aprendizado e se desenvolve o empreendimento. No entanto, para que os ecossistemas sejam bem-s</w:t>
      </w:r>
      <w:r>
        <w:rPr>
          <w:rFonts w:ascii="Arial" w:eastAsia="Arial" w:hAnsi="Arial" w:cs="Arial"/>
        </w:rPr>
        <w:t>ucedidos ele deve apresentar uma "comunidade de destino", o que significa que os atores da região devem buscar potencializar o território local, buscando o sucesso e o desenvolvimento da região e de toda a região (CAMPOS et al., 2015).</w:t>
      </w:r>
    </w:p>
    <w:p w14:paraId="000000CF" w14:textId="77777777" w:rsidR="001B2587" w:rsidRDefault="00076C66">
      <w:pPr>
        <w:spacing w:after="0" w:line="360" w:lineRule="auto"/>
        <w:ind w:firstLine="720"/>
        <w:jc w:val="both"/>
        <w:rPr>
          <w:rFonts w:ascii="Arial" w:eastAsia="Arial" w:hAnsi="Arial" w:cs="Arial"/>
        </w:rPr>
      </w:pPr>
      <w:r>
        <w:rPr>
          <w:rFonts w:ascii="Arial" w:eastAsia="Arial" w:hAnsi="Arial" w:cs="Arial"/>
        </w:rPr>
        <w:t>Sendo que, as empres</w:t>
      </w:r>
      <w:r>
        <w:rPr>
          <w:rFonts w:ascii="Arial" w:eastAsia="Arial" w:hAnsi="Arial" w:cs="Arial"/>
        </w:rPr>
        <w:t xml:space="preserve">as que investem na gestão através da criação e aquisição do conhecimento têm mais chances de conseguir bons resultados e maiores possibilidades de serem líderes no mercado (KOROBINSKI, 2001). </w:t>
      </w:r>
    </w:p>
    <w:p w14:paraId="000000D0" w14:textId="77777777" w:rsidR="001B2587" w:rsidRDefault="001B2587">
      <w:pPr>
        <w:spacing w:after="0" w:line="360" w:lineRule="auto"/>
        <w:jc w:val="both"/>
        <w:rPr>
          <w:rFonts w:ascii="Arial" w:eastAsia="Arial" w:hAnsi="Arial" w:cs="Arial"/>
          <w:sz w:val="24"/>
          <w:szCs w:val="24"/>
        </w:rPr>
      </w:pPr>
    </w:p>
    <w:p w14:paraId="000000D1" w14:textId="77777777" w:rsidR="001B2587" w:rsidRDefault="00076C66">
      <w:pPr>
        <w:numPr>
          <w:ilvl w:val="0"/>
          <w:numId w:val="3"/>
        </w:numPr>
        <w:spacing w:line="360" w:lineRule="auto"/>
        <w:jc w:val="both"/>
        <w:rPr>
          <w:rFonts w:ascii="Arial" w:eastAsia="Arial" w:hAnsi="Arial" w:cs="Arial"/>
          <w:b/>
          <w:sz w:val="24"/>
          <w:szCs w:val="24"/>
        </w:rPr>
      </w:pPr>
      <w:bookmarkStart w:id="15" w:name="_heading=h.dm813jl4f9g8" w:colFirst="0" w:colLast="0"/>
      <w:bookmarkEnd w:id="15"/>
      <w:r>
        <w:rPr>
          <w:rFonts w:ascii="Arial" w:eastAsia="Arial" w:hAnsi="Arial" w:cs="Arial"/>
          <w:b/>
          <w:sz w:val="24"/>
          <w:szCs w:val="24"/>
        </w:rPr>
        <w:t>Considerações Finais</w:t>
      </w:r>
    </w:p>
    <w:p w14:paraId="000000D2" w14:textId="77777777" w:rsidR="001B2587" w:rsidRDefault="00076C66">
      <w:pPr>
        <w:spacing w:after="0" w:line="360" w:lineRule="auto"/>
        <w:ind w:firstLine="709"/>
        <w:jc w:val="both"/>
        <w:rPr>
          <w:rFonts w:ascii="Arial" w:eastAsia="Arial" w:hAnsi="Arial" w:cs="Arial"/>
        </w:rPr>
      </w:pPr>
      <w:r>
        <w:rPr>
          <w:rFonts w:ascii="Arial" w:eastAsia="Arial" w:hAnsi="Arial" w:cs="Arial"/>
        </w:rPr>
        <w:t xml:space="preserve">O presente estudo teve como objetivo compreender o ecossistema sob o ponto de vista do setor público nos municípios que estão inseridos na Região dos Vales - RS. Além disso, buscou-se apresentar as características dos municípios da Região dos Vales - RS e </w:t>
      </w:r>
      <w:r>
        <w:rPr>
          <w:rFonts w:ascii="Arial" w:eastAsia="Arial" w:hAnsi="Arial" w:cs="Arial"/>
        </w:rPr>
        <w:t xml:space="preserve">identificar os principais </w:t>
      </w:r>
      <w:r>
        <w:rPr>
          <w:rFonts w:ascii="Arial" w:eastAsia="Arial" w:hAnsi="Arial" w:cs="Arial"/>
          <w:i/>
        </w:rPr>
        <w:t>insights</w:t>
      </w:r>
      <w:r>
        <w:rPr>
          <w:rFonts w:ascii="Arial" w:eastAsia="Arial" w:hAnsi="Arial" w:cs="Arial"/>
        </w:rPr>
        <w:t xml:space="preserve"> do ecossistema de inovação na Região. Neste sentido, verifica-se que o ecossistema de inovação vai muito além de espaços físicos promotores de inovação e sim, de um entendimento de todos sobre o que é inovação e como usuf</w:t>
      </w:r>
      <w:r>
        <w:rPr>
          <w:rFonts w:ascii="Arial" w:eastAsia="Arial" w:hAnsi="Arial" w:cs="Arial"/>
        </w:rPr>
        <w:t>ruir da mesma.</w:t>
      </w:r>
    </w:p>
    <w:p w14:paraId="000000D3" w14:textId="77777777" w:rsidR="001B2587" w:rsidRDefault="00076C66">
      <w:pPr>
        <w:spacing w:after="0" w:line="360" w:lineRule="auto"/>
        <w:ind w:firstLine="709"/>
        <w:jc w:val="both"/>
        <w:rPr>
          <w:rFonts w:ascii="Arial" w:eastAsia="Arial" w:hAnsi="Arial" w:cs="Arial"/>
          <w:highlight w:val="white"/>
        </w:rPr>
      </w:pPr>
      <w:bookmarkStart w:id="16" w:name="_heading=h.62fxwyfcj66r" w:colFirst="0" w:colLast="0"/>
      <w:bookmarkEnd w:id="16"/>
      <w:r>
        <w:rPr>
          <w:rFonts w:ascii="Arial" w:eastAsia="Arial" w:hAnsi="Arial" w:cs="Arial"/>
        </w:rPr>
        <w:t>Os pontos abordados que contribuem para o mapeamento do ecossistema regional de inovação têm relação à promoção d</w:t>
      </w:r>
      <w:r>
        <w:rPr>
          <w:rFonts w:ascii="Arial" w:eastAsia="Arial" w:hAnsi="Arial" w:cs="Arial"/>
          <w:highlight w:val="white"/>
        </w:rPr>
        <w:t>o intraempreendedorismo (geral) na gestão pública; ampliação da ação do Parque Tecnológico, da Incubadora Tecnológica, do Progra</w:t>
      </w:r>
      <w:r>
        <w:rPr>
          <w:rFonts w:ascii="Arial" w:eastAsia="Arial" w:hAnsi="Arial" w:cs="Arial"/>
          <w:highlight w:val="white"/>
        </w:rPr>
        <w:t>ma Polos, do CEV (Centro de Empreendedorismo do Vale); dos Aceleradores Financeiros e outras estruturas, que viabilizam a inovação e o empreendedorismo; consolidação de ambientes de inovação regional através de eventos de qualificação e disseminação de met</w:t>
      </w:r>
      <w:r>
        <w:rPr>
          <w:rFonts w:ascii="Arial" w:eastAsia="Arial" w:hAnsi="Arial" w:cs="Arial"/>
          <w:highlight w:val="white"/>
        </w:rPr>
        <w:t xml:space="preserve">odologias </w:t>
      </w:r>
      <w:r>
        <w:rPr>
          <w:rFonts w:ascii="Arial" w:eastAsia="Arial" w:hAnsi="Arial" w:cs="Arial"/>
          <w:highlight w:val="white"/>
        </w:rPr>
        <w:lastRenderedPageBreak/>
        <w:t>inovadoras; criação de programa de parcerias entre setor privado e instituições de pesquisa; consolidação das dimensões de inovação e empreendedorismo (conselhos municipais de desenvolvimento) dentro dos Conselhos Municipais de desenvolvimento ou</w:t>
      </w:r>
      <w:r>
        <w:rPr>
          <w:rFonts w:ascii="Arial" w:eastAsia="Arial" w:hAnsi="Arial" w:cs="Arial"/>
          <w:highlight w:val="white"/>
        </w:rPr>
        <w:t xml:space="preserve"> através da formação de conselhos municipais de inovação e empreendedorismo (leis de inovação); e formatação de incentivos para investimentos em pesquisa e desenvolvimento e inovação decorrentes. Parte do pressuposto que esses pontos têm potencial em contr</w:t>
      </w:r>
      <w:r>
        <w:rPr>
          <w:rFonts w:ascii="Arial" w:eastAsia="Arial" w:hAnsi="Arial" w:cs="Arial"/>
          <w:highlight w:val="white"/>
        </w:rPr>
        <w:t>ibuir para o desenvolvimento da cultura e promoção da inovação e o empreendedorismo na Região dos Vales.</w:t>
      </w:r>
    </w:p>
    <w:p w14:paraId="000000D4" w14:textId="77777777" w:rsidR="001B2587" w:rsidRDefault="00076C66">
      <w:pPr>
        <w:spacing w:after="0" w:line="360" w:lineRule="auto"/>
        <w:ind w:firstLine="709"/>
        <w:jc w:val="both"/>
        <w:rPr>
          <w:rFonts w:ascii="Arial" w:eastAsia="Arial" w:hAnsi="Arial" w:cs="Arial"/>
          <w:highlight w:val="white"/>
        </w:rPr>
      </w:pPr>
      <w:bookmarkStart w:id="17" w:name="_heading=h.9sggspwu2kly" w:colFirst="0" w:colLast="0"/>
      <w:bookmarkEnd w:id="17"/>
      <w:r>
        <w:rPr>
          <w:rFonts w:ascii="Arial" w:eastAsia="Arial" w:hAnsi="Arial" w:cs="Arial"/>
          <w:highlight w:val="white"/>
        </w:rPr>
        <w:t>O mapeamento de Inovação pode ser realizado em outros ecossistemas de inovação e empreendedorismo e instituições da quádrupla hélice que são atuantes n</w:t>
      </w:r>
      <w:r>
        <w:rPr>
          <w:rFonts w:ascii="Arial" w:eastAsia="Arial" w:hAnsi="Arial" w:cs="Arial"/>
          <w:highlight w:val="white"/>
        </w:rPr>
        <w:t xml:space="preserve">a região, com a finalidade de complementar essas informações e diagnosticar a vocação e a realidade da região e gerar ideias que permitam a compreensão do ecossistema de inovação e com isso que possam inclusive contribuírem para a melhoria dos projetos de </w:t>
      </w:r>
      <w:r>
        <w:rPr>
          <w:rFonts w:ascii="Arial" w:eastAsia="Arial" w:hAnsi="Arial" w:cs="Arial"/>
          <w:highlight w:val="white"/>
        </w:rPr>
        <w:t>inovação realizados nos Vales, bem como, atualizar ele sempre que possível principalmente quando houver trocas de governo, a fim de mantê-lo sempre atualizado.</w:t>
      </w:r>
    </w:p>
    <w:p w14:paraId="000000D5" w14:textId="77777777" w:rsidR="001B2587" w:rsidRDefault="001B2587">
      <w:pPr>
        <w:spacing w:after="0" w:line="360" w:lineRule="auto"/>
        <w:ind w:firstLine="709"/>
        <w:jc w:val="both"/>
        <w:rPr>
          <w:rFonts w:ascii="Arial" w:eastAsia="Arial" w:hAnsi="Arial" w:cs="Arial"/>
          <w:highlight w:val="white"/>
        </w:rPr>
      </w:pPr>
      <w:bookmarkStart w:id="18" w:name="_heading=h.8pzcksywwef0" w:colFirst="0" w:colLast="0"/>
      <w:bookmarkEnd w:id="18"/>
    </w:p>
    <w:p w14:paraId="000000D6" w14:textId="77777777" w:rsidR="001B2587" w:rsidRDefault="00076C66">
      <w:pPr>
        <w:jc w:val="both"/>
        <w:rPr>
          <w:rFonts w:ascii="Arial" w:eastAsia="Arial" w:hAnsi="Arial" w:cs="Arial"/>
          <w:b/>
          <w:sz w:val="24"/>
          <w:szCs w:val="24"/>
        </w:rPr>
      </w:pPr>
      <w:bookmarkStart w:id="19" w:name="_heading=h.wx3ph9d4p3ob" w:colFirst="0" w:colLast="0"/>
      <w:bookmarkEnd w:id="19"/>
      <w:r>
        <w:rPr>
          <w:rFonts w:ascii="Arial" w:eastAsia="Arial" w:hAnsi="Arial" w:cs="Arial"/>
          <w:b/>
          <w:sz w:val="24"/>
          <w:szCs w:val="24"/>
        </w:rPr>
        <w:t>Referências Bibliográficas</w:t>
      </w:r>
    </w:p>
    <w:p w14:paraId="000000D7" w14:textId="77777777" w:rsidR="001B2587" w:rsidRDefault="001B2587">
      <w:pPr>
        <w:spacing w:after="0" w:line="360" w:lineRule="auto"/>
        <w:jc w:val="both"/>
        <w:rPr>
          <w:rFonts w:ascii="Arial" w:eastAsia="Arial" w:hAnsi="Arial" w:cs="Arial"/>
          <w:color w:val="222222"/>
          <w:highlight w:val="white"/>
        </w:rPr>
      </w:pPr>
      <w:bookmarkStart w:id="20" w:name="_heading=h.p97q63c4vevw" w:colFirst="0" w:colLast="0"/>
      <w:bookmarkEnd w:id="20"/>
    </w:p>
    <w:p w14:paraId="000000D8" w14:textId="77777777" w:rsidR="001B2587" w:rsidRDefault="00076C66">
      <w:pPr>
        <w:spacing w:after="0" w:line="360" w:lineRule="auto"/>
        <w:jc w:val="both"/>
        <w:rPr>
          <w:rFonts w:ascii="Arial" w:eastAsia="Arial" w:hAnsi="Arial" w:cs="Arial"/>
          <w:highlight w:val="white"/>
        </w:rPr>
      </w:pPr>
      <w:r>
        <w:rPr>
          <w:rFonts w:ascii="Arial" w:eastAsia="Arial" w:hAnsi="Arial" w:cs="Arial"/>
          <w:highlight w:val="white"/>
        </w:rPr>
        <w:t xml:space="preserve">ADNER, R., &amp; KAPOOR, R. (2010). </w:t>
      </w:r>
      <w:r w:rsidRPr="00076C66">
        <w:rPr>
          <w:rFonts w:ascii="Arial" w:eastAsia="Arial" w:hAnsi="Arial" w:cs="Arial"/>
          <w:highlight w:val="white"/>
          <w:lang w:val="en-US"/>
        </w:rPr>
        <w:t>Value creation in innovation ecosys</w:t>
      </w:r>
      <w:r w:rsidRPr="00076C66">
        <w:rPr>
          <w:rFonts w:ascii="Arial" w:eastAsia="Arial" w:hAnsi="Arial" w:cs="Arial"/>
          <w:highlight w:val="white"/>
          <w:lang w:val="en-US"/>
        </w:rPr>
        <w:t xml:space="preserve">tems: How the structure of technological interdependence affects firm performance in new technology generations. </w:t>
      </w:r>
      <w:r>
        <w:rPr>
          <w:rFonts w:ascii="Arial" w:eastAsia="Arial" w:hAnsi="Arial" w:cs="Arial"/>
          <w:i/>
          <w:highlight w:val="white"/>
        </w:rPr>
        <w:t>Strategic management journal</w:t>
      </w:r>
      <w:r>
        <w:rPr>
          <w:rFonts w:ascii="Arial" w:eastAsia="Arial" w:hAnsi="Arial" w:cs="Arial"/>
          <w:highlight w:val="white"/>
        </w:rPr>
        <w:t xml:space="preserve">, </w:t>
      </w:r>
      <w:r>
        <w:rPr>
          <w:rFonts w:ascii="Arial" w:eastAsia="Arial" w:hAnsi="Arial" w:cs="Arial"/>
          <w:i/>
          <w:highlight w:val="white"/>
        </w:rPr>
        <w:t>31</w:t>
      </w:r>
      <w:r>
        <w:rPr>
          <w:rFonts w:ascii="Arial" w:eastAsia="Arial" w:hAnsi="Arial" w:cs="Arial"/>
          <w:highlight w:val="white"/>
        </w:rPr>
        <w:t>(3), 306-333.</w:t>
      </w:r>
    </w:p>
    <w:p w14:paraId="000000D9" w14:textId="77777777" w:rsidR="001B2587" w:rsidRDefault="001B2587">
      <w:pPr>
        <w:spacing w:after="0" w:line="360" w:lineRule="auto"/>
        <w:jc w:val="both"/>
        <w:rPr>
          <w:rFonts w:ascii="Arial" w:eastAsia="Arial" w:hAnsi="Arial" w:cs="Arial"/>
          <w:highlight w:val="white"/>
        </w:rPr>
      </w:pPr>
      <w:bookmarkStart w:id="21" w:name="_heading=h.bf6rwvky1ane" w:colFirst="0" w:colLast="0"/>
      <w:bookmarkEnd w:id="21"/>
    </w:p>
    <w:p w14:paraId="000000DA" w14:textId="77777777" w:rsidR="001B2587" w:rsidRDefault="00076C66">
      <w:pPr>
        <w:spacing w:after="0" w:line="360" w:lineRule="auto"/>
        <w:jc w:val="both"/>
        <w:rPr>
          <w:rFonts w:ascii="Arial" w:eastAsia="Arial" w:hAnsi="Arial" w:cs="Arial"/>
          <w:highlight w:val="white"/>
        </w:rPr>
      </w:pPr>
      <w:bookmarkStart w:id="22" w:name="_heading=h.9k5ilh1ar6uh" w:colFirst="0" w:colLast="0"/>
      <w:bookmarkEnd w:id="22"/>
      <w:r>
        <w:rPr>
          <w:rFonts w:ascii="Arial" w:eastAsia="Arial" w:hAnsi="Arial" w:cs="Arial"/>
          <w:highlight w:val="white"/>
        </w:rPr>
        <w:t xml:space="preserve">AGOSTINI, C. (2017). Plano estratégico de desenvolvimento do Vale do Taquari 2015-2030. </w:t>
      </w:r>
      <w:r>
        <w:rPr>
          <w:rFonts w:ascii="Arial" w:eastAsia="Arial" w:hAnsi="Arial" w:cs="Arial"/>
          <w:i/>
          <w:highlight w:val="white"/>
        </w:rPr>
        <w:t>Lajeado:</w:t>
      </w:r>
      <w:r>
        <w:rPr>
          <w:rFonts w:ascii="Arial" w:eastAsia="Arial" w:hAnsi="Arial" w:cs="Arial"/>
          <w:i/>
          <w:highlight w:val="white"/>
        </w:rPr>
        <w:t xml:space="preserve"> Ed. da Univates</w:t>
      </w:r>
      <w:r>
        <w:rPr>
          <w:rFonts w:ascii="Arial" w:eastAsia="Arial" w:hAnsi="Arial" w:cs="Arial"/>
          <w:highlight w:val="white"/>
        </w:rPr>
        <w:t>.</w:t>
      </w:r>
    </w:p>
    <w:p w14:paraId="000000DB" w14:textId="77777777" w:rsidR="001B2587" w:rsidRDefault="001B2587">
      <w:pPr>
        <w:spacing w:after="0" w:line="360" w:lineRule="auto"/>
        <w:jc w:val="both"/>
        <w:rPr>
          <w:rFonts w:ascii="Arial" w:eastAsia="Arial" w:hAnsi="Arial" w:cs="Arial"/>
          <w:highlight w:val="white"/>
        </w:rPr>
      </w:pPr>
      <w:bookmarkStart w:id="23" w:name="_heading=h.sgxcov3bmnwg" w:colFirst="0" w:colLast="0"/>
      <w:bookmarkEnd w:id="23"/>
    </w:p>
    <w:p w14:paraId="000000DC" w14:textId="77777777" w:rsidR="001B2587" w:rsidRDefault="00076C66">
      <w:pPr>
        <w:spacing w:after="0" w:line="360" w:lineRule="auto"/>
        <w:jc w:val="both"/>
        <w:rPr>
          <w:rFonts w:ascii="Arial" w:eastAsia="Arial" w:hAnsi="Arial" w:cs="Arial"/>
          <w:highlight w:val="white"/>
        </w:rPr>
      </w:pPr>
      <w:bookmarkStart w:id="24" w:name="_heading=h.6tm7cbumme49" w:colFirst="0" w:colLast="0"/>
      <w:bookmarkEnd w:id="24"/>
      <w:r>
        <w:rPr>
          <w:rFonts w:ascii="Arial" w:eastAsia="Arial" w:hAnsi="Arial" w:cs="Arial"/>
          <w:highlight w:val="white"/>
        </w:rPr>
        <w:t>ASSOCIAÇÃO BRASILEIRA DE STARTUPS. O momento da Startup Brasileira e o Futuro do Ecossistema de Inovação. Disponível em: &lt;</w:t>
      </w:r>
      <w:hyperlink r:id="rId10">
        <w:r>
          <w:rPr>
            <w:rFonts w:ascii="Arial" w:eastAsia="Arial" w:hAnsi="Arial" w:cs="Arial"/>
            <w:color w:val="1155CC"/>
            <w:highlight w:val="white"/>
            <w:u w:val="single"/>
          </w:rPr>
          <w:t>https://abstartups.com.</w:t>
        </w:r>
        <w:r>
          <w:rPr>
            <w:rFonts w:ascii="Arial" w:eastAsia="Arial" w:hAnsi="Arial" w:cs="Arial"/>
            <w:color w:val="1155CC"/>
            <w:highlight w:val="white"/>
            <w:u w:val="single"/>
          </w:rPr>
          <w:t>br/wp-content/uploads/2021/03/Radiografia_v26.pdf</w:t>
        </w:r>
      </w:hyperlink>
      <w:r>
        <w:rPr>
          <w:rFonts w:ascii="Arial" w:eastAsia="Arial" w:hAnsi="Arial" w:cs="Arial"/>
          <w:highlight w:val="white"/>
        </w:rPr>
        <w:t>&gt;. Acesso em: 28 abr. 2021.</w:t>
      </w:r>
    </w:p>
    <w:p w14:paraId="000000DD" w14:textId="77777777" w:rsidR="001B2587" w:rsidRDefault="001B2587">
      <w:pPr>
        <w:spacing w:after="0" w:line="360" w:lineRule="auto"/>
        <w:jc w:val="both"/>
        <w:rPr>
          <w:rFonts w:ascii="Arial" w:eastAsia="Arial" w:hAnsi="Arial" w:cs="Arial"/>
          <w:highlight w:val="white"/>
        </w:rPr>
      </w:pPr>
      <w:bookmarkStart w:id="25" w:name="_heading=h.6gtupxexxszw" w:colFirst="0" w:colLast="0"/>
      <w:bookmarkEnd w:id="25"/>
    </w:p>
    <w:p w14:paraId="000000DE" w14:textId="77777777" w:rsidR="001B2587" w:rsidRDefault="00076C66">
      <w:pPr>
        <w:spacing w:after="0" w:line="360" w:lineRule="auto"/>
        <w:jc w:val="both"/>
        <w:rPr>
          <w:rFonts w:ascii="Arial" w:eastAsia="Arial" w:hAnsi="Arial" w:cs="Arial"/>
          <w:highlight w:val="white"/>
        </w:rPr>
      </w:pPr>
      <w:bookmarkStart w:id="26" w:name="_heading=h.so52yzlu8uey" w:colFirst="0" w:colLast="0"/>
      <w:bookmarkEnd w:id="26"/>
      <w:r>
        <w:rPr>
          <w:rFonts w:ascii="Arial" w:eastAsia="Arial" w:hAnsi="Arial" w:cs="Arial"/>
          <w:highlight w:val="white"/>
        </w:rPr>
        <w:t xml:space="preserve">AUDY, J. (2017). A inovação, o desenvolvimento e o papel da Universidade. </w:t>
      </w:r>
      <w:r>
        <w:rPr>
          <w:rFonts w:ascii="Arial" w:eastAsia="Arial" w:hAnsi="Arial" w:cs="Arial"/>
          <w:i/>
          <w:highlight w:val="white"/>
        </w:rPr>
        <w:t>Estudos avançados</w:t>
      </w:r>
      <w:r>
        <w:rPr>
          <w:rFonts w:ascii="Arial" w:eastAsia="Arial" w:hAnsi="Arial" w:cs="Arial"/>
          <w:highlight w:val="white"/>
        </w:rPr>
        <w:t xml:space="preserve">, </w:t>
      </w:r>
      <w:r>
        <w:rPr>
          <w:rFonts w:ascii="Arial" w:eastAsia="Arial" w:hAnsi="Arial" w:cs="Arial"/>
          <w:i/>
          <w:highlight w:val="white"/>
        </w:rPr>
        <w:t>31</w:t>
      </w:r>
      <w:r>
        <w:rPr>
          <w:rFonts w:ascii="Arial" w:eastAsia="Arial" w:hAnsi="Arial" w:cs="Arial"/>
          <w:highlight w:val="white"/>
        </w:rPr>
        <w:t>(90), 75-87.</w:t>
      </w:r>
    </w:p>
    <w:p w14:paraId="000000DF" w14:textId="77777777" w:rsidR="001B2587" w:rsidRDefault="001B2587">
      <w:pPr>
        <w:spacing w:after="0" w:line="360" w:lineRule="auto"/>
        <w:jc w:val="both"/>
        <w:rPr>
          <w:rFonts w:ascii="Arial" w:eastAsia="Arial" w:hAnsi="Arial" w:cs="Arial"/>
          <w:highlight w:val="white"/>
        </w:rPr>
      </w:pPr>
      <w:bookmarkStart w:id="27" w:name="_heading=h.3bkrvllfcc32" w:colFirst="0" w:colLast="0"/>
      <w:bookmarkEnd w:id="27"/>
    </w:p>
    <w:p w14:paraId="000000E0" w14:textId="77777777" w:rsidR="001B2587" w:rsidRDefault="00076C66">
      <w:pPr>
        <w:spacing w:after="0" w:line="360" w:lineRule="auto"/>
        <w:jc w:val="both"/>
        <w:rPr>
          <w:rFonts w:ascii="Arial" w:eastAsia="Arial" w:hAnsi="Arial" w:cs="Arial"/>
          <w:highlight w:val="white"/>
        </w:rPr>
      </w:pPr>
      <w:bookmarkStart w:id="28" w:name="_heading=h.6fc660dwxbzk" w:colFirst="0" w:colLast="0"/>
      <w:bookmarkEnd w:id="28"/>
      <w:r>
        <w:rPr>
          <w:rFonts w:ascii="Arial" w:eastAsia="Arial" w:hAnsi="Arial" w:cs="Arial"/>
          <w:highlight w:val="white"/>
        </w:rPr>
        <w:t xml:space="preserve">BRASIL (2016), Lei nº 13.246, de 11 de janeiro de 2016. Dispõe sobre </w:t>
      </w:r>
      <w:r>
        <w:rPr>
          <w:rFonts w:ascii="Arial" w:eastAsia="Arial" w:hAnsi="Arial" w:cs="Arial"/>
          <w:highlight w:val="white"/>
        </w:rPr>
        <w:t>incentivos à inovação e à pesquisa científica e tecnológica no ambiente produtivo e dá outras providências. Disponível em: &lt; http://www.planalto.gov.br/ccivil_03/_ato2015-2018/2016/lei/l13243.htm#:~:text=1%C2%BA%20Esta%20Lei%20estabelece%20medidas,Pa%C3%AD</w:t>
      </w:r>
      <w:r>
        <w:rPr>
          <w:rFonts w:ascii="Arial" w:eastAsia="Arial" w:hAnsi="Arial" w:cs="Arial"/>
          <w:highlight w:val="white"/>
        </w:rPr>
        <w:t>s%2C%20nos%20termos%20dos%20arts&gt; Acesso em abril de 2021.</w:t>
      </w:r>
    </w:p>
    <w:p w14:paraId="000000E1" w14:textId="77777777" w:rsidR="001B2587" w:rsidRDefault="001B2587">
      <w:pPr>
        <w:spacing w:after="0" w:line="360" w:lineRule="auto"/>
        <w:jc w:val="both"/>
        <w:rPr>
          <w:rFonts w:ascii="Arial" w:eastAsia="Arial" w:hAnsi="Arial" w:cs="Arial"/>
          <w:highlight w:val="white"/>
        </w:rPr>
      </w:pPr>
      <w:bookmarkStart w:id="29" w:name="_heading=h.w80we8yx38xk" w:colFirst="0" w:colLast="0"/>
      <w:bookmarkEnd w:id="29"/>
    </w:p>
    <w:p w14:paraId="000000E2" w14:textId="77777777" w:rsidR="001B2587" w:rsidRDefault="00076C66">
      <w:pPr>
        <w:spacing w:after="0" w:line="360" w:lineRule="auto"/>
        <w:jc w:val="both"/>
        <w:rPr>
          <w:rFonts w:ascii="Arial" w:eastAsia="Arial" w:hAnsi="Arial" w:cs="Arial"/>
          <w:highlight w:val="white"/>
        </w:rPr>
      </w:pPr>
      <w:bookmarkStart w:id="30" w:name="_heading=h.4ueuj1gtwigc" w:colFirst="0" w:colLast="0"/>
      <w:bookmarkEnd w:id="30"/>
      <w:r>
        <w:rPr>
          <w:rFonts w:ascii="Arial" w:eastAsia="Arial" w:hAnsi="Arial" w:cs="Arial"/>
          <w:highlight w:val="white"/>
        </w:rPr>
        <w:t>CAMPOS, J. G. C., de SOUZA, J. A., DANDOLIN, G. A., &amp; LIMA, M. A. (2015). Direcionadores estratégicos para o mapeamento de ambientes de inovação e empreendedorismo: um estudo de caso do projeto Po</w:t>
      </w:r>
      <w:r>
        <w:rPr>
          <w:rFonts w:ascii="Arial" w:eastAsia="Arial" w:hAnsi="Arial" w:cs="Arial"/>
          <w:highlight w:val="white"/>
        </w:rPr>
        <w:t xml:space="preserve">ntos de Inovação–INAITEC/Pedra Branca. </w:t>
      </w:r>
      <w:r>
        <w:rPr>
          <w:rFonts w:ascii="Arial" w:eastAsia="Arial" w:hAnsi="Arial" w:cs="Arial"/>
          <w:i/>
          <w:highlight w:val="white"/>
        </w:rPr>
        <w:t>IV SPI–Seminário de Pesquisa Interdisciplinar</w:t>
      </w:r>
      <w:r>
        <w:rPr>
          <w:rFonts w:ascii="Arial" w:eastAsia="Arial" w:hAnsi="Arial" w:cs="Arial"/>
          <w:highlight w:val="white"/>
        </w:rPr>
        <w:t>.</w:t>
      </w:r>
    </w:p>
    <w:p w14:paraId="000000E3" w14:textId="77777777" w:rsidR="001B2587" w:rsidRDefault="001B2587">
      <w:pPr>
        <w:spacing w:after="0" w:line="360" w:lineRule="auto"/>
        <w:jc w:val="both"/>
        <w:rPr>
          <w:rFonts w:ascii="Arial" w:eastAsia="Arial" w:hAnsi="Arial" w:cs="Arial"/>
          <w:highlight w:val="white"/>
        </w:rPr>
      </w:pPr>
      <w:bookmarkStart w:id="31" w:name="_heading=h.vjntih7ln9se" w:colFirst="0" w:colLast="0"/>
      <w:bookmarkEnd w:id="31"/>
    </w:p>
    <w:p w14:paraId="000000E4" w14:textId="77777777" w:rsidR="001B2587" w:rsidRDefault="00076C66">
      <w:pPr>
        <w:spacing w:after="0" w:line="360" w:lineRule="auto"/>
        <w:jc w:val="both"/>
        <w:rPr>
          <w:rFonts w:ascii="Arial" w:eastAsia="Arial" w:hAnsi="Arial" w:cs="Arial"/>
          <w:highlight w:val="white"/>
        </w:rPr>
      </w:pPr>
      <w:bookmarkStart w:id="32" w:name="_heading=h.vd31s1f8zx3k" w:colFirst="0" w:colLast="0"/>
      <w:bookmarkEnd w:id="32"/>
      <w:r>
        <w:rPr>
          <w:rFonts w:ascii="Arial" w:eastAsia="Arial" w:hAnsi="Arial" w:cs="Arial"/>
          <w:highlight w:val="white"/>
        </w:rPr>
        <w:t xml:space="preserve">GOMES, R. A. D. O. S., &amp; TEIXEIRA, C. S. (2018). As tipologias de habitats de inovação: uma análise da legislação vigente do sul do Brasil sob luz do novo marco legal de ciência, tecnologia e inovação. </w:t>
      </w:r>
      <w:r>
        <w:rPr>
          <w:rFonts w:ascii="Arial" w:eastAsia="Arial" w:hAnsi="Arial" w:cs="Arial"/>
          <w:i/>
          <w:highlight w:val="white"/>
        </w:rPr>
        <w:t>Revista Eletrônica do Alto Vale do Itajaí</w:t>
      </w:r>
      <w:r>
        <w:rPr>
          <w:rFonts w:ascii="Arial" w:eastAsia="Arial" w:hAnsi="Arial" w:cs="Arial"/>
          <w:highlight w:val="white"/>
        </w:rPr>
        <w:t xml:space="preserve">, </w:t>
      </w:r>
      <w:r>
        <w:rPr>
          <w:rFonts w:ascii="Arial" w:eastAsia="Arial" w:hAnsi="Arial" w:cs="Arial"/>
          <w:i/>
          <w:highlight w:val="white"/>
        </w:rPr>
        <w:t>7</w:t>
      </w:r>
      <w:r>
        <w:rPr>
          <w:rFonts w:ascii="Arial" w:eastAsia="Arial" w:hAnsi="Arial" w:cs="Arial"/>
          <w:highlight w:val="white"/>
        </w:rPr>
        <w:t>(11), 10-1</w:t>
      </w:r>
      <w:r>
        <w:rPr>
          <w:rFonts w:ascii="Arial" w:eastAsia="Arial" w:hAnsi="Arial" w:cs="Arial"/>
          <w:highlight w:val="white"/>
        </w:rPr>
        <w:t>9.</w:t>
      </w:r>
    </w:p>
    <w:p w14:paraId="000000E5" w14:textId="77777777" w:rsidR="001B2587" w:rsidRDefault="001B2587">
      <w:pPr>
        <w:spacing w:after="0" w:line="360" w:lineRule="auto"/>
        <w:jc w:val="both"/>
        <w:rPr>
          <w:rFonts w:ascii="Arial" w:eastAsia="Arial" w:hAnsi="Arial" w:cs="Arial"/>
          <w:highlight w:val="white"/>
        </w:rPr>
      </w:pPr>
      <w:bookmarkStart w:id="33" w:name="_heading=h.wwyl8keg69d6" w:colFirst="0" w:colLast="0"/>
      <w:bookmarkEnd w:id="33"/>
    </w:p>
    <w:p w14:paraId="000000E6" w14:textId="77777777" w:rsidR="001B2587" w:rsidRPr="00076C66" w:rsidRDefault="00076C66">
      <w:pPr>
        <w:spacing w:after="0" w:line="360" w:lineRule="auto"/>
        <w:jc w:val="both"/>
        <w:rPr>
          <w:rFonts w:ascii="Arial" w:eastAsia="Arial" w:hAnsi="Arial" w:cs="Arial"/>
          <w:highlight w:val="white"/>
          <w:lang w:val="en-US"/>
        </w:rPr>
      </w:pPr>
      <w:bookmarkStart w:id="34" w:name="_heading=h.la4ktlfatyhv" w:colFirst="0" w:colLast="0"/>
      <w:bookmarkEnd w:id="34"/>
      <w:r>
        <w:rPr>
          <w:rFonts w:ascii="Arial" w:eastAsia="Arial" w:hAnsi="Arial" w:cs="Arial"/>
          <w:highlight w:val="white"/>
        </w:rPr>
        <w:t xml:space="preserve">JACKSON, D. J. (2011). </w:t>
      </w:r>
      <w:r w:rsidRPr="00076C66">
        <w:rPr>
          <w:rFonts w:ascii="Arial" w:eastAsia="Arial" w:hAnsi="Arial" w:cs="Arial"/>
          <w:highlight w:val="white"/>
          <w:lang w:val="en-US"/>
        </w:rPr>
        <w:t xml:space="preserve">What is an innovation ecosystem. </w:t>
      </w:r>
      <w:r w:rsidRPr="00076C66">
        <w:rPr>
          <w:rFonts w:ascii="Arial" w:eastAsia="Arial" w:hAnsi="Arial" w:cs="Arial"/>
          <w:i/>
          <w:highlight w:val="white"/>
          <w:lang w:val="en-US"/>
        </w:rPr>
        <w:t>National Science Foundation</w:t>
      </w:r>
      <w:r w:rsidRPr="00076C66">
        <w:rPr>
          <w:rFonts w:ascii="Arial" w:eastAsia="Arial" w:hAnsi="Arial" w:cs="Arial"/>
          <w:highlight w:val="white"/>
          <w:lang w:val="en-US"/>
        </w:rPr>
        <w:t xml:space="preserve">, </w:t>
      </w:r>
      <w:r w:rsidRPr="00076C66">
        <w:rPr>
          <w:rFonts w:ascii="Arial" w:eastAsia="Arial" w:hAnsi="Arial" w:cs="Arial"/>
          <w:i/>
          <w:highlight w:val="white"/>
          <w:lang w:val="en-US"/>
        </w:rPr>
        <w:t>1</w:t>
      </w:r>
      <w:r w:rsidRPr="00076C66">
        <w:rPr>
          <w:rFonts w:ascii="Arial" w:eastAsia="Arial" w:hAnsi="Arial" w:cs="Arial"/>
          <w:highlight w:val="white"/>
          <w:lang w:val="en-US"/>
        </w:rPr>
        <w:t>(2), 1-13.</w:t>
      </w:r>
    </w:p>
    <w:p w14:paraId="000000E7" w14:textId="77777777" w:rsidR="001B2587" w:rsidRPr="00076C66" w:rsidRDefault="001B2587">
      <w:pPr>
        <w:spacing w:after="0" w:line="360" w:lineRule="auto"/>
        <w:jc w:val="both"/>
        <w:rPr>
          <w:rFonts w:ascii="Arial" w:eastAsia="Arial" w:hAnsi="Arial" w:cs="Arial"/>
          <w:highlight w:val="white"/>
          <w:lang w:val="en-US"/>
        </w:rPr>
      </w:pPr>
      <w:bookmarkStart w:id="35" w:name="_heading=h.a16b7nh93ok9" w:colFirst="0" w:colLast="0"/>
      <w:bookmarkEnd w:id="35"/>
    </w:p>
    <w:p w14:paraId="000000E8" w14:textId="77777777" w:rsidR="001B2587" w:rsidRDefault="00076C66">
      <w:pPr>
        <w:spacing w:after="0" w:line="360" w:lineRule="auto"/>
        <w:jc w:val="both"/>
        <w:rPr>
          <w:rFonts w:ascii="Arial" w:eastAsia="Arial" w:hAnsi="Arial" w:cs="Arial"/>
          <w:highlight w:val="white"/>
        </w:rPr>
      </w:pPr>
      <w:bookmarkStart w:id="36" w:name="_heading=h.mdkymhdt793k" w:colFirst="0" w:colLast="0"/>
      <w:bookmarkEnd w:id="36"/>
      <w:r w:rsidRPr="00076C66">
        <w:rPr>
          <w:rFonts w:ascii="Arial" w:eastAsia="Arial" w:hAnsi="Arial" w:cs="Arial"/>
          <w:highlight w:val="white"/>
          <w:lang w:val="en-US"/>
        </w:rPr>
        <w:t xml:space="preserve">KOROBINSKI, R. R. (2001). </w:t>
      </w:r>
      <w:r>
        <w:rPr>
          <w:rFonts w:ascii="Arial" w:eastAsia="Arial" w:hAnsi="Arial" w:cs="Arial"/>
          <w:highlight w:val="white"/>
        </w:rPr>
        <w:t xml:space="preserve">O grande desafio empresarial de hoje: a gestão do conhecimento. </w:t>
      </w:r>
      <w:r>
        <w:rPr>
          <w:rFonts w:ascii="Arial" w:eastAsia="Arial" w:hAnsi="Arial" w:cs="Arial"/>
          <w:i/>
          <w:highlight w:val="white"/>
        </w:rPr>
        <w:t>Perspectivas em ciência da informação</w:t>
      </w:r>
      <w:r>
        <w:rPr>
          <w:rFonts w:ascii="Arial" w:eastAsia="Arial" w:hAnsi="Arial" w:cs="Arial"/>
          <w:highlight w:val="white"/>
        </w:rPr>
        <w:t xml:space="preserve">, </w:t>
      </w:r>
      <w:r>
        <w:rPr>
          <w:rFonts w:ascii="Arial" w:eastAsia="Arial" w:hAnsi="Arial" w:cs="Arial"/>
          <w:i/>
          <w:highlight w:val="white"/>
        </w:rPr>
        <w:t>6</w:t>
      </w:r>
      <w:r>
        <w:rPr>
          <w:rFonts w:ascii="Arial" w:eastAsia="Arial" w:hAnsi="Arial" w:cs="Arial"/>
          <w:highlight w:val="white"/>
        </w:rPr>
        <w:t>(1).</w:t>
      </w:r>
    </w:p>
    <w:p w14:paraId="000000E9" w14:textId="77777777" w:rsidR="001B2587" w:rsidRDefault="001B2587">
      <w:pPr>
        <w:spacing w:after="0" w:line="360" w:lineRule="auto"/>
        <w:jc w:val="both"/>
        <w:rPr>
          <w:rFonts w:ascii="Arial" w:eastAsia="Arial" w:hAnsi="Arial" w:cs="Arial"/>
          <w:highlight w:val="white"/>
        </w:rPr>
      </w:pPr>
      <w:bookmarkStart w:id="37" w:name="_heading=h.6ifgwnsza7c0" w:colFirst="0" w:colLast="0"/>
      <w:bookmarkEnd w:id="37"/>
    </w:p>
    <w:p w14:paraId="000000EA" w14:textId="77777777" w:rsidR="001B2587" w:rsidRDefault="00076C66">
      <w:pPr>
        <w:spacing w:after="0" w:line="360" w:lineRule="auto"/>
        <w:jc w:val="both"/>
        <w:rPr>
          <w:rFonts w:ascii="Arial" w:eastAsia="Arial" w:hAnsi="Arial" w:cs="Arial"/>
          <w:highlight w:val="white"/>
        </w:rPr>
      </w:pPr>
      <w:bookmarkStart w:id="38" w:name="_heading=h.ads5un7l8ewn" w:colFirst="0" w:colLast="0"/>
      <w:bookmarkEnd w:id="38"/>
      <w:r>
        <w:rPr>
          <w:rFonts w:ascii="Arial" w:eastAsia="Arial" w:hAnsi="Arial" w:cs="Arial"/>
          <w:highlight w:val="white"/>
        </w:rPr>
        <w:t xml:space="preserve">KOSLOSKY, M. A. N., de MOURA SPERONI, R., &amp; GAUTHIER, O. (2015). Ecossistemas de inovação–Uma revisão sistemática da literatura. </w:t>
      </w:r>
      <w:r>
        <w:rPr>
          <w:rFonts w:ascii="Arial" w:eastAsia="Arial" w:hAnsi="Arial" w:cs="Arial"/>
          <w:i/>
          <w:highlight w:val="white"/>
        </w:rPr>
        <w:t>Revista ESPACIOS| Vol. 36 (Nº 03) Año 2015</w:t>
      </w:r>
      <w:r>
        <w:rPr>
          <w:rFonts w:ascii="Arial" w:eastAsia="Arial" w:hAnsi="Arial" w:cs="Arial"/>
          <w:highlight w:val="white"/>
        </w:rPr>
        <w:t>.</w:t>
      </w:r>
    </w:p>
    <w:p w14:paraId="000000EB" w14:textId="77777777" w:rsidR="001B2587" w:rsidRDefault="001B2587">
      <w:pPr>
        <w:spacing w:after="0" w:line="360" w:lineRule="auto"/>
        <w:jc w:val="both"/>
        <w:rPr>
          <w:rFonts w:ascii="Arial" w:eastAsia="Arial" w:hAnsi="Arial" w:cs="Arial"/>
          <w:highlight w:val="white"/>
        </w:rPr>
      </w:pPr>
      <w:bookmarkStart w:id="39" w:name="_heading=h.lak569rd5uca" w:colFirst="0" w:colLast="0"/>
      <w:bookmarkEnd w:id="39"/>
    </w:p>
    <w:p w14:paraId="000000EC" w14:textId="77777777" w:rsidR="001B2587" w:rsidRDefault="00076C66">
      <w:pPr>
        <w:spacing w:after="0" w:line="360" w:lineRule="auto"/>
        <w:jc w:val="both"/>
        <w:rPr>
          <w:rFonts w:ascii="Arial" w:eastAsia="Arial" w:hAnsi="Arial" w:cs="Arial"/>
          <w:highlight w:val="white"/>
        </w:rPr>
      </w:pPr>
      <w:bookmarkStart w:id="40" w:name="_heading=h.7t9oj01a54u9" w:colFirst="0" w:colLast="0"/>
      <w:bookmarkEnd w:id="40"/>
      <w:r>
        <w:rPr>
          <w:rFonts w:ascii="Arial" w:eastAsia="Arial" w:hAnsi="Arial" w:cs="Arial"/>
          <w:highlight w:val="white"/>
        </w:rPr>
        <w:t>RIO GRANDE DO SUL, Lei estadual no 13.196, de 13 de julho de 2009. Estabelece medi</w:t>
      </w:r>
      <w:r>
        <w:rPr>
          <w:rFonts w:ascii="Arial" w:eastAsia="Arial" w:hAnsi="Arial" w:cs="Arial"/>
          <w:highlight w:val="white"/>
        </w:rPr>
        <w:t>das de incentivo à inovação e à pesquisa científica e tecnológica, define mecanismos de gestão aplicáveis às instituições científicas e tecnológicas do Estado do Rio Grande do Sul e dá outras providências. Disponível em:http://www.al.rs.gov.br/filereposito</w:t>
      </w:r>
      <w:r>
        <w:rPr>
          <w:rFonts w:ascii="Arial" w:eastAsia="Arial" w:hAnsi="Arial" w:cs="Arial"/>
          <w:highlight w:val="white"/>
        </w:rPr>
        <w:t>ry/repLegis/arquivos/13.196.pdf . acesso em abril de 2021.</w:t>
      </w:r>
    </w:p>
    <w:p w14:paraId="000000ED" w14:textId="77777777" w:rsidR="001B2587" w:rsidRDefault="001B2587">
      <w:pPr>
        <w:spacing w:after="0" w:line="360" w:lineRule="auto"/>
        <w:jc w:val="both"/>
        <w:rPr>
          <w:rFonts w:ascii="Arial" w:eastAsia="Arial" w:hAnsi="Arial" w:cs="Arial"/>
          <w:highlight w:val="white"/>
        </w:rPr>
      </w:pPr>
      <w:bookmarkStart w:id="41" w:name="_heading=h.3jzfgfcaj4nj" w:colFirst="0" w:colLast="0"/>
      <w:bookmarkEnd w:id="41"/>
    </w:p>
    <w:p w14:paraId="000000EE" w14:textId="77777777" w:rsidR="001B2587" w:rsidRDefault="00076C66">
      <w:pPr>
        <w:spacing w:after="0" w:line="360" w:lineRule="auto"/>
        <w:jc w:val="both"/>
        <w:rPr>
          <w:rFonts w:ascii="Arial" w:eastAsia="Arial" w:hAnsi="Arial" w:cs="Arial"/>
          <w:highlight w:val="white"/>
        </w:rPr>
      </w:pPr>
      <w:bookmarkStart w:id="42" w:name="_heading=h.z4e8ahtngb1u" w:colFirst="0" w:colLast="0"/>
      <w:bookmarkEnd w:id="42"/>
      <w:r>
        <w:rPr>
          <w:rFonts w:ascii="Arial" w:eastAsia="Arial" w:hAnsi="Arial" w:cs="Arial"/>
          <w:highlight w:val="white"/>
        </w:rPr>
        <w:t>SILVEIRA, R. L. L. D., &amp; PETRY, H. Á. (2017). Plano estratégico de desenvolvimento regional do Vale do Rio Pardo (2015-2030).</w:t>
      </w:r>
    </w:p>
    <w:p w14:paraId="000000EF" w14:textId="77777777" w:rsidR="001B2587" w:rsidRDefault="001B2587">
      <w:pPr>
        <w:spacing w:after="0" w:line="360" w:lineRule="auto"/>
        <w:jc w:val="both"/>
        <w:rPr>
          <w:rFonts w:ascii="Arial" w:eastAsia="Arial" w:hAnsi="Arial" w:cs="Arial"/>
          <w:highlight w:val="white"/>
        </w:rPr>
      </w:pPr>
      <w:bookmarkStart w:id="43" w:name="_heading=h.qy7as94qte2m" w:colFirst="0" w:colLast="0"/>
      <w:bookmarkEnd w:id="43"/>
    </w:p>
    <w:p w14:paraId="000000F0" w14:textId="77777777" w:rsidR="001B2587" w:rsidRDefault="00076C66">
      <w:pPr>
        <w:spacing w:after="0" w:line="360" w:lineRule="auto"/>
        <w:jc w:val="both"/>
        <w:rPr>
          <w:rFonts w:ascii="Arial" w:eastAsia="Arial" w:hAnsi="Arial" w:cs="Arial"/>
          <w:highlight w:val="white"/>
        </w:rPr>
      </w:pPr>
      <w:bookmarkStart w:id="44" w:name="_heading=h.8ryz6avb4qiq" w:colFirst="0" w:colLast="0"/>
      <w:bookmarkEnd w:id="44"/>
      <w:r>
        <w:rPr>
          <w:rFonts w:ascii="Arial" w:eastAsia="Arial" w:hAnsi="Arial" w:cs="Arial"/>
          <w:highlight w:val="white"/>
        </w:rPr>
        <w:t>TEIXEIRA, T. S., ANDRADE, D. M., de CASTRO, Alcântara, V., &amp; de Olive</w:t>
      </w:r>
      <w:r>
        <w:rPr>
          <w:rFonts w:ascii="Arial" w:eastAsia="Arial" w:hAnsi="Arial" w:cs="Arial"/>
          <w:highlight w:val="white"/>
        </w:rPr>
        <w:t>ira, N. K. (2019). Inovação e Empreendedorismo: Um caso no setor público. Revista Pretexto, 57-71.</w:t>
      </w:r>
    </w:p>
    <w:sectPr w:rsidR="001B2587">
      <w:pgSz w:w="11906" w:h="16838"/>
      <w:pgMar w:top="1701" w:right="1134" w:bottom="1134"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auto"/>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FE68F4"/>
    <w:multiLevelType w:val="multilevel"/>
    <w:tmpl w:val="5BB6E4D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BEC6AD7"/>
    <w:multiLevelType w:val="multilevel"/>
    <w:tmpl w:val="2D1A98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9D0680D"/>
    <w:multiLevelType w:val="multilevel"/>
    <w:tmpl w:val="171842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587"/>
    <w:rsid w:val="00076C66"/>
    <w:rsid w:val="001B258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61CE7"/>
  <w15:docId w15:val="{358C17B3-35A2-4C31-BD35-ACEC948A1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2"/>
    <w:tblPr>
      <w:tblStyleRowBandSize w:val="1"/>
      <w:tblStyleColBandSize w:val="1"/>
      <w:tblCellMar>
        <w:top w:w="100" w:type="dxa"/>
        <w:left w:w="100" w:type="dxa"/>
        <w:bottom w:w="100" w:type="dxa"/>
        <w:right w:w="100" w:type="dxa"/>
      </w:tblCellMar>
    </w:tblPr>
  </w:style>
  <w:style w:type="table" w:customStyle="1" w:styleId="a0">
    <w:basedOn w:val="TableNormal2"/>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character" w:styleId="Refdecomentrio">
    <w:name w:val="annotation reference"/>
    <w:basedOn w:val="Fontepargpadro"/>
    <w:uiPriority w:val="99"/>
    <w:semiHidden/>
    <w:unhideWhenUsed/>
    <w:rsid w:val="00D42A85"/>
    <w:rPr>
      <w:sz w:val="16"/>
      <w:szCs w:val="16"/>
    </w:rPr>
  </w:style>
  <w:style w:type="paragraph" w:styleId="Textodecomentrio">
    <w:name w:val="annotation text"/>
    <w:basedOn w:val="Normal"/>
    <w:link w:val="TextodecomentrioChar"/>
    <w:uiPriority w:val="99"/>
    <w:semiHidden/>
    <w:unhideWhenUsed/>
    <w:rsid w:val="00D42A8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D42A85"/>
    <w:rPr>
      <w:sz w:val="20"/>
      <w:szCs w:val="20"/>
    </w:rPr>
  </w:style>
  <w:style w:type="paragraph" w:styleId="Assuntodocomentrio">
    <w:name w:val="annotation subject"/>
    <w:basedOn w:val="Textodecomentrio"/>
    <w:next w:val="Textodecomentrio"/>
    <w:link w:val="AssuntodocomentrioChar"/>
    <w:uiPriority w:val="99"/>
    <w:semiHidden/>
    <w:unhideWhenUsed/>
    <w:rsid w:val="00D42A85"/>
    <w:rPr>
      <w:b/>
      <w:bCs/>
    </w:rPr>
  </w:style>
  <w:style w:type="character" w:customStyle="1" w:styleId="AssuntodocomentrioChar">
    <w:name w:val="Assunto do comentário Char"/>
    <w:basedOn w:val="TextodecomentrioChar"/>
    <w:link w:val="Assuntodocomentrio"/>
    <w:uiPriority w:val="99"/>
    <w:semiHidden/>
    <w:rsid w:val="00D42A85"/>
    <w:rPr>
      <w:b/>
      <w:bCs/>
      <w:sz w:val="20"/>
      <w:szCs w:val="20"/>
    </w:rPr>
  </w:style>
  <w:style w:type="paragraph" w:styleId="Textodebalo">
    <w:name w:val="Balloon Text"/>
    <w:basedOn w:val="Normal"/>
    <w:link w:val="TextodebaloChar"/>
    <w:uiPriority w:val="99"/>
    <w:semiHidden/>
    <w:unhideWhenUsed/>
    <w:rsid w:val="00D42A85"/>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42A85"/>
    <w:rPr>
      <w:rFonts w:ascii="Segoe UI" w:hAnsi="Segoe UI" w:cs="Segoe UI"/>
      <w:sz w:val="18"/>
      <w:szCs w:val="18"/>
    </w:rPr>
  </w:style>
  <w:style w:type="table" w:customStyle="1" w:styleId="a2">
    <w:basedOn w:val="TableNormal0"/>
    <w:tblPr>
      <w:tblStyleRowBandSize w:val="1"/>
      <w:tblStyleColBandSize w:val="1"/>
      <w:tblCellMar>
        <w:top w:w="100" w:type="dxa"/>
        <w:left w:w="100" w:type="dxa"/>
        <w:bottom w:w="100" w:type="dxa"/>
        <w:right w:w="100" w:type="dxa"/>
      </w:tblCellMar>
    </w:tblPr>
  </w:style>
  <w:style w:type="table" w:customStyle="1" w:styleId="a3">
    <w:basedOn w:val="TableNormal0"/>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abstartups.com.br/wp-content/uploads/2021/03/Radiografia_v26.pdf" TargetMode="Externa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pdKEnBhAo95eq3BsKlG3yacf4xw==">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4528</Words>
  <Characters>24452</Characters>
  <Application>Microsoft Office Word</Application>
  <DocSecurity>0</DocSecurity>
  <Lines>203</Lines>
  <Paragraphs>57</Paragraphs>
  <ScaleCrop>false</ScaleCrop>
  <HeadingPairs>
    <vt:vector size="2" baseType="variant">
      <vt:variant>
        <vt:lpstr>Título</vt:lpstr>
      </vt:variant>
      <vt:variant>
        <vt:i4>1</vt:i4>
      </vt:variant>
    </vt:vector>
  </HeadingPairs>
  <TitlesOfParts>
    <vt:vector size="1" baseType="lpstr">
      <vt:lpstr/>
    </vt:vector>
  </TitlesOfParts>
  <Company>Unisc</Company>
  <LinksUpToDate>false</LinksUpToDate>
  <CharactersWithSpaces>28923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Administrador</dc:creator>
  <cp:lastModifiedBy>Administrador</cp:lastModifiedBy>
  <cp:revision>3</cp:revision>
  <dcterms:created xsi:type="dcterms:W3CDTF">2021-04-27T19:56:00Z</dcterms:created>
  <dcterms:modified xsi:type="dcterms:W3CDTF">2021-04-30T19:22:00Z</dcterms:modified>
</cp:coreProperties>
</file>