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301E8" w14:textId="1008C7EE" w:rsidR="00C51C28" w:rsidRPr="003D1B60" w:rsidRDefault="00C51C28" w:rsidP="003D1B60">
      <w:pPr>
        <w:jc w:val="center"/>
        <w:rPr>
          <w:rFonts w:ascii="Arial" w:hAnsi="Arial" w:cs="Arial"/>
          <w:b/>
          <w:bCs/>
          <w:color w:val="000000"/>
          <w:sz w:val="24"/>
          <w:szCs w:val="24"/>
        </w:rPr>
      </w:pPr>
      <w:r w:rsidRPr="003D1B60">
        <w:rPr>
          <w:rFonts w:ascii="Arial" w:hAnsi="Arial" w:cs="Arial"/>
          <w:b/>
          <w:bCs/>
          <w:color w:val="000000"/>
          <w:sz w:val="24"/>
          <w:szCs w:val="24"/>
        </w:rPr>
        <w:t>Dados suplementares sobre a revisão integrativa realizada e referências completas dos estudos analisados.</w:t>
      </w:r>
    </w:p>
    <w:p w14:paraId="3BEA9D8C" w14:textId="77777777" w:rsidR="00C51C28" w:rsidRDefault="00C51C28" w:rsidP="001C69EC">
      <w:pPr>
        <w:rPr>
          <w:rFonts w:ascii="Arial" w:hAnsi="Arial" w:cs="Arial"/>
          <w:b/>
          <w:bCs/>
          <w:color w:val="000000"/>
        </w:rPr>
      </w:pPr>
    </w:p>
    <w:p w14:paraId="5F9C6245" w14:textId="0FFAF699" w:rsidR="001C69EC" w:rsidRPr="001C69EC" w:rsidRDefault="001C69EC" w:rsidP="001C69EC">
      <w:pPr>
        <w:rPr>
          <w:rFonts w:ascii="Arial" w:hAnsi="Arial" w:cs="Arial"/>
          <w:color w:val="000000"/>
        </w:rPr>
      </w:pPr>
      <w:r w:rsidRPr="001C69EC">
        <w:rPr>
          <w:rFonts w:ascii="Arial" w:hAnsi="Arial" w:cs="Arial"/>
          <w:b/>
          <w:bCs/>
          <w:color w:val="000000"/>
        </w:rPr>
        <w:t>Quadro 1</w:t>
      </w:r>
      <w:r w:rsidRPr="001C69EC">
        <w:rPr>
          <w:rFonts w:ascii="Arial" w:hAnsi="Arial" w:cs="Arial"/>
          <w:color w:val="000000"/>
        </w:rPr>
        <w:t>: Distintos efeitos ambientais das IGs reportados na literatura</w:t>
      </w:r>
    </w:p>
    <w:tbl>
      <w:tblPr>
        <w:tblStyle w:val="Tabelacomgrade"/>
        <w:tblW w:w="8784" w:type="dxa"/>
        <w:tblLayout w:type="fixed"/>
        <w:tblLook w:val="04A0" w:firstRow="1" w:lastRow="0" w:firstColumn="1" w:lastColumn="0" w:noHBand="0" w:noVBand="1"/>
      </w:tblPr>
      <w:tblGrid>
        <w:gridCol w:w="4815"/>
        <w:gridCol w:w="3969"/>
      </w:tblGrid>
      <w:tr w:rsidR="001C69EC" w:rsidRPr="001C69EC" w14:paraId="3902FD71" w14:textId="77777777" w:rsidTr="00533B63">
        <w:trPr>
          <w:trHeight w:val="255"/>
        </w:trPr>
        <w:tc>
          <w:tcPr>
            <w:tcW w:w="4815" w:type="dxa"/>
            <w:shd w:val="clear" w:color="auto" w:fill="D0CECE" w:themeFill="background2" w:themeFillShade="E6"/>
            <w:noWrap/>
          </w:tcPr>
          <w:p w14:paraId="0D72D2DA" w14:textId="77777777" w:rsidR="001C69EC" w:rsidRPr="001C69EC" w:rsidRDefault="001C69EC" w:rsidP="00533B63">
            <w:pPr>
              <w:jc w:val="center"/>
              <w:rPr>
                <w:rFonts w:ascii="Arial" w:eastAsia="Times New Roman" w:hAnsi="Arial" w:cs="Arial"/>
                <w:b/>
                <w:bCs/>
                <w:lang w:eastAsia="pt-BR"/>
              </w:rPr>
            </w:pPr>
            <w:r w:rsidRPr="001C69EC">
              <w:rPr>
                <w:rFonts w:ascii="Arial" w:eastAsia="Times New Roman" w:hAnsi="Arial" w:cs="Arial"/>
                <w:b/>
                <w:bCs/>
                <w:lang w:eastAsia="pt-BR"/>
              </w:rPr>
              <w:t>Efeitos ambientais identificados</w:t>
            </w:r>
          </w:p>
        </w:tc>
        <w:tc>
          <w:tcPr>
            <w:tcW w:w="3969" w:type="dxa"/>
            <w:shd w:val="clear" w:color="auto" w:fill="D0CECE" w:themeFill="background2" w:themeFillShade="E6"/>
          </w:tcPr>
          <w:p w14:paraId="090FAA40" w14:textId="77777777" w:rsidR="001C69EC" w:rsidRPr="001C69EC" w:rsidRDefault="001C69EC" w:rsidP="00533B63">
            <w:pPr>
              <w:jc w:val="center"/>
              <w:rPr>
                <w:rFonts w:ascii="Arial" w:eastAsia="Times New Roman" w:hAnsi="Arial" w:cs="Arial"/>
                <w:b/>
                <w:bCs/>
                <w:lang w:eastAsia="pt-BR"/>
              </w:rPr>
            </w:pPr>
            <w:r w:rsidRPr="001C69EC">
              <w:rPr>
                <w:rFonts w:ascii="Arial" w:eastAsia="Times New Roman" w:hAnsi="Arial" w:cs="Arial"/>
                <w:b/>
                <w:bCs/>
                <w:lang w:eastAsia="pt-BR"/>
              </w:rPr>
              <w:t>Referências</w:t>
            </w:r>
          </w:p>
        </w:tc>
      </w:tr>
      <w:tr w:rsidR="001C69EC" w:rsidRPr="001C69EC" w14:paraId="1A487B38" w14:textId="77777777" w:rsidTr="00533B63">
        <w:trPr>
          <w:trHeight w:val="255"/>
        </w:trPr>
        <w:tc>
          <w:tcPr>
            <w:tcW w:w="8784" w:type="dxa"/>
            <w:gridSpan w:val="2"/>
            <w:shd w:val="clear" w:color="auto" w:fill="A8D08D" w:themeFill="accent6" w:themeFillTint="99"/>
            <w:noWrap/>
          </w:tcPr>
          <w:p w14:paraId="42C1A7A0" w14:textId="77777777" w:rsidR="001C69EC" w:rsidRPr="001C69EC" w:rsidRDefault="001C69EC" w:rsidP="00533B63">
            <w:pPr>
              <w:rPr>
                <w:rFonts w:ascii="Arial" w:eastAsia="Times New Roman" w:hAnsi="Arial" w:cs="Arial"/>
                <w:b/>
                <w:bCs/>
                <w:lang w:eastAsia="pt-BR"/>
              </w:rPr>
            </w:pPr>
            <w:r w:rsidRPr="001C69EC">
              <w:rPr>
                <w:rFonts w:ascii="Arial" w:eastAsia="Times New Roman" w:hAnsi="Arial" w:cs="Arial"/>
                <w:b/>
                <w:bCs/>
                <w:lang w:eastAsia="pt-BR"/>
              </w:rPr>
              <w:t>Efeitos positivos</w:t>
            </w:r>
          </w:p>
        </w:tc>
      </w:tr>
      <w:tr w:rsidR="001C69EC" w:rsidRPr="00C51C28" w14:paraId="1176044A" w14:textId="77777777" w:rsidTr="00533B63">
        <w:trPr>
          <w:trHeight w:val="255"/>
        </w:trPr>
        <w:tc>
          <w:tcPr>
            <w:tcW w:w="4815" w:type="dxa"/>
            <w:noWrap/>
          </w:tcPr>
          <w:p w14:paraId="69ABE1DE"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 xml:space="preserve">Conservação e valorização das paisagens naturais e das paisagens com uso agrícola tradicional; manutenção da biodiversidade associada a essas paisagens e da beleza cênica. </w:t>
            </w:r>
          </w:p>
        </w:tc>
        <w:tc>
          <w:tcPr>
            <w:tcW w:w="3969" w:type="dxa"/>
          </w:tcPr>
          <w:p w14:paraId="0204E947" w14:textId="6C8F6C96" w:rsidR="001C69EC" w:rsidRPr="001C69EC" w:rsidRDefault="001C69EC" w:rsidP="00533B63">
            <w:pPr>
              <w:rPr>
                <w:rFonts w:ascii="Arial" w:eastAsia="Times New Roman" w:hAnsi="Arial" w:cs="Arial"/>
                <w:lang w:val="fr-FR" w:eastAsia="pt-BR"/>
              </w:rPr>
            </w:pPr>
            <w:r w:rsidRPr="001C69EC">
              <w:rPr>
                <w:rFonts w:ascii="Arial" w:eastAsia="Times New Roman" w:hAnsi="Arial" w:cs="Arial"/>
                <w:noProof/>
                <w:lang w:val="fr-FR" w:eastAsia="pt-BR"/>
              </w:rPr>
              <w:fldChar w:fldCharType="begin" w:fldLock="1"/>
            </w:r>
            <w:r w:rsidRPr="001C69EC">
              <w:rPr>
                <w:rFonts w:ascii="Arial" w:eastAsia="Times New Roman" w:hAnsi="Arial" w:cs="Arial"/>
                <w:noProof/>
                <w:lang w:val="fr-FR" w:eastAsia="pt-BR"/>
              </w:rPr>
              <w:instrText>ADDIN CSL_CITATION {"citationItems":[{"id":"ITEM-1","itemData":{"DOI":"10.1111/j.1468-2451.2006.00592.x","ISSN":"00208701","abstract":"The debate and negotiations in progress at the international level concerning the protection of geographical indications (GI) are of direct interest to the local agricultural products and foodstuffs called terroir products. Beyond the protection of the use of their name, which is the founding principle of this system, and the legal and economic considerations this system implies, new questions are being raised about these products concerning the diversification of farming and sustainable development. More and more, and in a favourable context, another major issue is becoming apparent: the biological and cultural diversity linked to these products. This questioning concerns the status and the future of these local resources in our societies and whether or not GIs can help maintain this diversity. Protecting local and traditional products through the GI system can contribute to conserving biodiversity at various levels: domestic animal breeds, plant varieties, microbial ecosystems, and landscapes. This is also a way of maintaining in a formal way shared knowledge and practices, since they underpin the protected resource. Taking account of these elements offers an opportunity to think about agriculture differently and leads us to propose an innovative approach to local products. Several examples taken in France will help show how links can be established between the protection of GI, cultural biodiversity, and local knowledge. © UNESCO 2006.","author":[{"dropping-particle":"","family":"Bérard","given":"Laurence","non-dropping-particle":"","parse-names":false,"suffix":""},{"dropping-particle":"","family":"Marchenay","given":"Philippe","non-dropping-particle":"","parse-names":false,"suffix":""}],"container-title":"International Social Science Journal","id":"ITEM-1","issue":"187","issued":{"date-parts":[["2006"]]},"page":"109-116","title":"Local products and geographical indications: Taking account of local knowledge and biodiversity","type":"article-journal","volume":"58"},"uris":["http://www.mendeley.com/documents/?uuid=6dda118e-fcf2-4442-b722-01979c2097cf"]},{"id":"ITEM-2","itemData":{"DOI":"10.1111/1467-9523.00159","ISSN":"00380199","abstract":"Amongst the hundreds of cases of regional specific products being produced all over Europe, the Parmigiano Reggiano cheese system can be considered one of the most eloquent, mature and successful examples avant la lettre of rural development. About 8,000 dairy farmers, cheese dairies and ripening firms comply with the strict production regulations that guarantee the specificity of this product. Employment in the Parmigiano Reggiano production system is twice as high as in the industrial dairy system and the pressure of the system on the environment is significantly lower. As Parmigiano Reggiano cheese has to compete on the same market as more industrial Grana cheeses, the system is not immune to the cost-price squeeze affecting European agriculture. The accelerated introduction of cost reducing technologies may compromise the typicality of the product, endanger its competitive position on the market and weaken its future collective performance. A convergence of views and a strong cohesion among actors is necessary to reach new agreements about the direction being taken by technological development in order to safeguard the success Parmigiano Regiano cheese has been able to generate in the past.","author":[{"dropping-particle":"","family":"Roest","given":"Kees","non-dropping-particle":"De","parse-names":false,"suffix":""},{"dropping-particle":"","family":"Menghi","given":"Alberto","non-dropping-particle":"","parse-names":false,"suffix":""}],"container-title":"Sociologia Ruralis","id":"ITEM-2","issue":"4","issued":{"date-parts":[["2000"]]},"page":"439-451","title":"Reconsidering 'traditional' food: The case of Parmigiano Reggiano cheese","type":"article-journal","volume":"40"},"uris":["http://www.mendeley.com/documents/?uuid=de4bf68f-9f0a-42bc-b2d1-8fb0916edde9"]},{"id":"ITEM-3","itemData":{"DOI":"10.1016/j.landusepol.2014.10.009","ISSN":"02648377","abstract":"Consumers express a growing interest for local and quality foods certified by their origin and their environmental production standards. This has led to the emergence of certified products meeting sustainability criteria. Because consumers are willing to pay a price premium for sustainably produced commodities, these certifications act as market-based instruments to promote sustainable land use. Among Geographical Indications (GIs) labels, the two European Union GIs - called Protection of Designation of Origin (PDO) and Protection of Geographical Indication (PGI) - can be considered as agricultural product certification. These GIs identify a good as originating from a region where a given quality, reputation or other characteristic of the good is attributable to its geographical origin. Land use is potentially affected by GIs because product characteristics are associated with the biophysical attributes of the terroir and some product specifications relate to land management practices. Little empirical evidence substantiates the claim that GIs have an impact on land use. The objective of this study was to understand whether Geographical Indications are an effective market-based instrument to promote conservation of extensive land use practices in marginal mountain areas. We conducted farm surveys along a gradient of GI requirements for the following similar cheese products: Tomme de Savoie PGI, Tomme de Savoie EQC, and Tome des Bauges PDO. We tested the hypothesis that the more stringent PDO requirements were associated with more extensive agricultural practices and provided more benefits to farmers. Results showed that the strict standards of PGI and PDO are associated with greater benefits for farmers and more extensive agricultural practices. In comparison to PGI farmers, PDO farmers obtain higher price premiums and gain more knowledge. More extensive practices are observed on PDO farms but the differences between labels are minor. Our results also reveal a great variability in agricultural practices among farms of a same label. Farmers have various motivations for labelling their product.","author":[{"dropping-particle":"","family":"Lamarque","given":"Pénélope","non-dropping-particle":"","parse-names":false,"suffix":""},{"dropping-particle":"","family":"Lambin","given":"Eric F.","non-dropping-particle":"","parse-names":false,"suffix":""}],"container-title":"Land Use Policy","id":"ITEM-3","issued":{"date-parts":[["2015"]]},"page":"706-717","publisher":"Elsevier Ltd","title":"The effectiveness of marked-based instruments to foster the conservation of extensive land use: The case of Geographical Indications in the French Alps","type":"article-journal","volume":"42"},"uris":["http://www.mendeley.com/documents/?uuid=e6e64e9b-53ea-4441-9dce-939972095067"]},{"id":"ITEM-4","itemData":{"DOI":"10.1007/s10457-017-0181-7","ISBN":"1045701701817","ISSN":"15729680","abstract":"Most farm-based agroforestry projects focus on the integration of trees on arable or livestock enterprises. This paper focuses on the integration of understorey crops and/or livestock within high value tree systems (e.g., apple orchards, olive groves, chestnut woodlands, and walnut plantations), and describes the components, structure, ecosystem services and economic value of ten case studies of this type of agroforestry across Europe. Although their ecological and socio-economic contexts vary, the systems share some common characteristics. The primary objective of the farmer is likely to remain the value of tree products like apples, olives, oranges, or nuts, or particularly high value timber. However there can still be production, environmental or economic benefits of integrating agricultural crops such as chickpeas and barley, or grazing an understorey grass crop with livestock. Three of the systems focused on the grazing of apple orchards with sheep in the UK and France. The introduction of sheep to apple orchards can minimise the need for mowing and provide an additional source of revenue. Throughout the Mediterranean, there is a need to improve the financial viability of olive groves. The case studies illustrate the possibility of intercropping traditional olive stands with chickpea in Greece, or the intercropping of wild asparagus in high density olive groves in Italy. Another system studied in Greece involves orange trees intercropped with chickpeas. Stands of chestnut trees in North-west Spain can provide feed for pigs when the fruit falls in November, and provide an excellent habitat for the commercial production of edible mushrooms. In Spain, in the production of high quality walnut trees using rotations of up to 50–60 years, there are options to establish a legume-based mixed pasture understorey and to introduce sheep to provide financial and environmental benefits.","author":[{"dropping-particle":"","family":"Pantera","given":"A.","non-dropping-particle":"","parse-names":false,"suffix":""},{"dropping-particle":"","family":"Burgess","given":"P. J.","non-dropping-particle":"","parse-names":false,"suffix":""},{"dropping-particle":"","family":"Mosquera Losada","given":"R.","non-dropping-particle":"","parse-names":false,"suffix":""},{"dropping-particle":"","family":"Moreno","given":"G.","non-dropping-particle":"","parse-names":false,"suffix":""},{"dropping-particle":"","family":"López-Díaz","given":"M. L.","non-dropping-particle":"","parse-names":false,"suffix":""},{"dropping-particle":"","family":"Corroyer","given":"N.","non-dropping-particle":"","parse-names":false,"suffix":""},{"dropping-particle":"","family":"McAdam","given":"J.","non-dropping-particle":"","parse-names":false,"suffix":""},{"dropping-particle":"","family":"Rosati","given":"A.","non-dropping-particle":"","parse-names":false,"suffix":""},{"dropping-particle":"","family":"Papadopoulos","given":"A. M.","non-dropping-particle":"","parse-names":false,"suffix":""},{"dropping-particle":"","family":"Graves","given":"A.","non-dropping-particle":"","parse-names":false,"suffix":""},{"dropping-particle":"","family":"Rigueiro Rodríguez","given":"A.","non-dropping-particle":"","parse-names":false,"suffix":""},{"dropping-particle":"","family":"Ferreiro-Domínguez","given":"N.","non-dropping-particle":"","parse-names":false,"suffix":""},{"dropping-particle":"","family":"Fernández Lorenzo","given":"J. L.","non-dropping-particle":"","parse-names":false,"suffix":""},{"dropping-particle":"","family":"González-Hernández","given":"M. P.","non-dropping-particle":"","parse-names":false,"suffix":""},{"dropping-particle":"","family":"Papanastasis","given":"V. P.","non-dropping-particle":"","parse-names":false,"suffix":""},{"dropping-particle":"","family":"Mantzanas","given":"K.","non-dropping-particle":"","parse-names":false,"suffix":""},{"dropping-particle":"","family":"Lerberghe","given":"P.","non-dropping-particle":"Van","parse-names":false,"suffix":""},{"dropping-particle":"","family":"Malignier","given":"N.","non-dropping-particle":"","parse-names":false,"suffix":""}],"container-title":"Agroforestry Systems","id":"ITEM-4","issue":"4","issued":{"date-parts":[["2018"]]},"page":"945-959","title":"Agroforestry for high value tree systems in Europe","type":"article-journal","volume":"92"},"uris":["http://www.mendeley.com/documents/?uuid=b547f5af-dc71-4c96-b68c-e3782ec4f72a"]},{"id":"ITEM-5","itemData":{"DOI":"10.1007/s11625-017-0455-z","ISSN":"18624057","abstract":"Many Japanese and European landscapes harbor biocultural diversity that has been shaped by human agency over centuries. However, these landscapes are threatened by widespread land abandonment, land-use changes, and urbanization. The aim of this study is to use a “solution scanning” method to identify place-based food networks in Europe and Japan that reinforce linkages between biological and cultural diversity in landscapes. In our analysis of 26 European and 13 Japanese cases, we find that place-based food networks are typically located in heterogeneous landscapes, are driven by civil society (and less by markets), and act at a local scale. Regional identity is the most frequently addressed societal issue. Scenery, rural tourism, and nature conservation are more important motivations in Europe, and physical well-being and revitalization of local economies are more relevant in Japan. European models are typically associated with achieving biodiversity conservation and socio-cultural tradition outcomes, and Japanese models more with public health and nutrition outcomes. We discuss the potential for transfer of approaches from Japan to Europe (e.g., models that tackle the aging of rural societies), and from Europe to Japan (e.g., models that build explicit connections between food production and biodiversity conservation). We conclude with a list of recommended policy measures, e.g., the creation of a flexible legal framework that protects the interests of and reduces political constraints for collaborative efforts to biocultural diversity in landscapes.","author":[{"dropping-particle":"","family":"Plieninger","given":"Tobias","non-dropping-particle":"","parse-names":false,"suffix":""},{"dropping-particle":"","family":"Kohsaka","given":"Ryo","non-dropping-particle":"","parse-names":false,"suffix":""},{"dropping-particle":"","family":"Bieling","given":"Claudia","non-dropping-particle":"","parse-names":false,"suffix":""},{"dropping-particle":"","family":"Hashimoto","given":"Shizuka","non-dropping-particle":"","parse-names":false,"suffix":""},{"dropping-particle":"","family":"Kamiyama","given":"Chiho","non-dropping-particle":"","parse-names":false,"suffix":""},{"dropping-particle":"","family":"Kizos","given":"Thanasis","non-dropping-particle":"","parse-names":false,"suffix":""},{"dropping-particle":"","family":"Penker","given":"Marianne","non-dropping-particle":"","parse-names":false,"suffix":""},{"dropping-particle":"","family":"Kieninger","given":"Pia","non-dropping-particle":"","parse-names":false,"suffix":""},{"dropping-particle":"","family":"Shaw","given":"Brian J.","non-dropping-particle":"","parse-names":false,"suffix":""},{"dropping-particle":"","family":"Sioen","given":"Giles Bruno","non-dropping-particle":"","parse-names":false,"suffix":""},{"dropping-particle":"","family":"Yoshida","given":"Yuki","non-dropping-particle":"","parse-names":false,"suffix":""},{"dropping-particle":"","family":"Saito","given":"Osamu","non-dropping-particle":"","parse-names":false,"suffix":""}],"container-title":"Sustainability Science","id":"ITEM-5","issue":"1","issued":{"date-parts":[["2018"]]},"page":"219-233","publisher":"Springer Japan","title":"Fostering biocultural diversity in landscapes through place-based food networks: a “solution scan” of European and Japanese models","type":"article-journal","volume":"13"},"uris":["http://www.mendeley.com/documents/?uuid=5802e367-08b1-4f9a-a14b-5a9d358709eb"]},{"id":"ITEM-6","itemData":{"DOI":"10.1016/j.agsy.2004.05.005","ISSN":"0308521X","abstract":"Cultural landscapes in Europe provide a wide range of food products and fulfil social and environmental functions. In order to maintain agricultural practices that contribute to maintaining the biological and cultural value of semi-natural landscapes, agri-environmental schemes are being implemented in many western European countries. In the mountains of southern Europe a major issue is the encroachment of shrubs and trees through natural forest succession following agro-pastoral extensification. In this paper we analyse trends in land use strategies of sheep breeders in response to milk pricing and in relation to various within-farm mechanisms. We show that changes in production rules within the Roquefort cheese protected geographical indication have caused farmers to develop an alternative land use strategy. In this alternative model, farmers now consider rangelands as a valuable resource. By increasing the use of rangelands for sheep grazing and alimentation, this new strategy provides a more effective control of shrub and tree encroachment. We suggest that this involuntary consequence of production and market decisions has been at least as important as agri-environmental schemes in leading ewes' milk producers to make changes in their land use strategy. © 2004 Elsevier Ltd. All rights reserved.","author":[{"dropping-particle":"","family":"Quetier","given":"Fabien","non-dropping-particle":"","parse-names":false,"suffix":""},{"dropping-particle":"","family":"Marty","given":"Pascal","non-dropping-particle":"","parse-names":false,"suffix":""},{"dropping-particle":"","family":"Lepart","given":"Jacques","non-dropping-particle":"","parse-names":false,"suffix":""}],"container-title":"Agricultural Systems","id":"ITEM-6","issue":"2","issued":{"date-parts":[["2005"]]},"page":"171-193","title":"Farmers' management strategies and land use in an agropastoral landscape: Roquefort cheese production rules as a driver of change","type":"article-journal","volume":"84"},"uris":["http://www.mendeley.com/documents/?uuid=64ffe080-0d5c-452a-a813-6632ffc60d87"]},{"id":"ITEM-7","itemData":{"DOI":"10.1080/00167223.2013.876206","ISSN":"00167223","abstract":"Economic optimisation of the gross margin per hectare in agriculture reduces diversity, coherence and identity of cultural landscapes. Hence, landscape preservation calls for changes in the social–ecological organisation of places, which implies complex transitional processes towards new management regimes. These are supported by CAP reforms (Horizon, 2014–2020) that increasingly turn from individual production subsidies to farmers to the collective management of natural resources and the related ecosystem services. This article explores the opportunities for landscape preservation in Galicia, Spain. The central question is: ‘How to develop a successful planning approach in the context of a geographically peripheral area facing severe ecological, social and economic vulnerabilities?’ In the case study area, contrasting viewpoints on landscape preservation among rural dwellers, entrepreneurs and representatives of institutions point to power issues on control over the natural environment, but also provide input for the development of an actor-oriented approach to landscape preservation. This article provides a ‘tool’ for catching up with the EU objectives of sustainable, inclusive and smart growth and contributes to our understanding of how place-based development in EU programs can be combined with landscape management in Galicia.","author":[{"dropping-particle":"","family":"Swagemakers","given":"Paul","non-dropping-particle":"","parse-names":false,"suffix":""},{"dropping-particle":"","family":"Copena Rodríguez","given":"Damian","non-dropping-particle":"","parse-names":false,"suffix":""},{"dropping-particle":"","family":"Domínguez García","given":"María Dolores","non-dropping-particle":"","parse-names":false,"suffix":""},{"dropping-particle":"","family":"Simón Fernández","given":"Xavier","non-dropping-particle":"","parse-names":false,"suffix":""}],"container-title":"Geografisk Tidsskrift","id":"ITEM-7","issue":"2","issued":{"date-parts":[["2014"]]},"page":"109-118","publisher":"Routledge","title":"Fighting for a future: an actor-oriented planning approach to landscape preservation in Galicia","type":"article-journal","volume":"114"},"uris":["http://www.mendeley.com/documents/?uuid=63add8fb-b9dd-49c0-9623-d26e72e48d23"]},{"id":"ITEM-8","itemData":{"DOI":"10.1016/j.jrurstud.2019.03.014","ISSN":"07430167","abstract":"A Geographical Indication (GI) is expected to facilitate agri-environmental management in agricultural landscapes. Currently, local products from small-scale farms and national branded products with a relatively large scale of production are being registered using GI schemes. Considering the relationships among GI products, their agricultural landscapes, and traditional ecological knowledge (TEK), as a GI case study, we examined small GI farms in Odate City, Akita Prefecture, Japan, which produce edible plants called Tonburi. This research explored the complex cause-effect relationship between TEK and landscapes and found that the TEK of Tonburi production influenced biological diversity and vice versa. The TEK and skills of small farmers were confined to the family members of each farmer and were not shared at the community level until GI registration. However, the farmers shared their TEK of sustainable agricultural landscape management through the process of GI registration. Through negotiation between local agricultural cooperatives and farmers, TEK was provided as a form of cultural capital and shared with new producers after GI registration. We concluded that enclosed TEK negatively affects production maintenance and landscape management in the long term. However, the GI registration process contributes to the sharing of TEK as a form of cultural capital among Tonburi farmers.","author":[{"dropping-particle":"","family":"Tashiro","given":"Ai","non-dropping-particle":"","parse-names":false,"suffix":""},{"dropping-particle":"","family":"Uchiyama","given":"Yuta","non-dropping-particle":"","parse-names":false,"suffix":""},{"dropping-particle":"","family":"Kohsaka","given":"Ryo","non-dropping-particle":"","parse-names":false,"suffix":""}],"container-title":"Journal of Rural Studies","id":"ITEM-8","issue":"June 2018","issued":{"date-parts":[["2019"]]},"page":"46-53","publisher":"Elsevier","title":"Impact of Geographical Indication schemes on traditional knowledge in changing agricultural landscapes: An empirical analysis from Japan","type":"article-journal","volume":"68"},"uris":["http://www.mendeley.com/documents/?uuid=c6d20004-6752-4e29-83a2-66e7bfcfa393"]},{"id":"ITEM-9","itemData":{"DOI":"10.1080/09669582.2019.1648482","ISSN":"17477646","abstract":"As an agricultural product with strong social and cultural connotations, the production and consumption of tea have high potential to be integrated with tourism to enhance community livelihood sustainability. A sustainable livelihood approach is used in a tea tourism context in Hetu Town, Anhui Province, China, to examine critically the interactive relationships between tea and tourism. Face-to-face semi-structured interviews were conducted with management officials, community leaders, tea industry representatives and village residents in four field investigations in 2015 and 2016. Improvement in community livelihood sustainability was identified through enhancement of livelihood diversity and choice. However, impacts on household livelihood sustainability varied as tourism participation is restricted by level of livelihood assets. The increase of the within-community income gap may generate social problems in the long run. The current level of tea and tourism integration is limited. The history, culture and traditions related with tea are not widely disseminated by local tea producers. Opportunities for in-depth and diversified tea tourism experiences are being recognized, which call for partnership with those involved in tourism. Practical implications are discussed to enhance tea and tourism integration, boost local participation, enhance local benefits, and particularly, to engage those with lower levels of livelihood assets.","author":[{"dropping-particle":"","family":"Su","given":"Ming Ming","non-dropping-particle":"","parse-names":false,"suffix":""},{"dropping-particle":"","family":"Wall","given":"Geoffrey","non-dropping-particle":"","parse-names":false,"suffix":""},{"dropping-particle":"","family":"Wang","given":"Yanan","non-dropping-particle":"","parse-names":false,"suffix":""}],"container-title":"Journal of Sustainable Tourism","id":"ITEM-9","issue":"10","issued":{"date-parts":[["2019"]]},"page":"1591-1608","publisher":"Routledge","title":"Integrating tea and tourism: a sustainable livelihoods approach","type":"article-journal","volume":"27"},"uris":["http://www.mendeley.com/documents/?uuid=260b9343-a3a1-461c-87f7-1ba8812c6fe0"]},{"id":"ITEM-10","itemData":{"DOI":"10.1111/j.1549-0831.2009.00007.x","ISSN":"00360112","abstract":"Geographical indications (GIs) are place-based names that conveythe geographical origin, as well as the cultural and historical identity, of agricultural products. GIs are unique, in that they provide ameans of ensuring that control over production and sales of a product stays within a local area, but at the same time they make use of extralocal markets. Although control over GIs largely rests with local actors, GIs are nested in wider regional, national, and international networks; and the passage from local to extralocal markets introduces new costs and benefits and new relations of power into the supply chain. The degree to which GI protection spurs development and protects local environmental and cultural resources depends on the structure of the GI legislation and on the territorial context in which protection is embedded. Using a commodity-chains approach, I compare two GI production systems, tequila in Mexico and Comté cheese in France, in order to develop a theory of the factors that contribute to more sustainable, equitable GI production systems. I argue that three key differences in the design of the GI schemes help to explain the varying effects of the two cases: (1) the manner in which supply-chain actors define quality, (2) the way that the GI valorizes the terroir of the region, and (3) the strength and cohesion that the collective organizing body exhibits. Moreover, the institutional and political context in which GI supply chains \"touch down\" plays a critical role. Contrary to a conceptualization of GIs as compatible with a purely market-oriented model, my comparison of these two cases indicates that some level of state involvement, in order to level the playing field and empower small farmers, is a necessary, although not sufficient, precondition for successful and sustainable GIs. © 2010, by the Rural Sociological Society.","author":[{"dropping-particle":"","family":"Bowen","given":"Sarah","non-dropping-particle":"","parse-names":false,"suffix":""}],"container-title":"Rural Sociology","id":"ITEM-10","issue":"2","issued":{"date-parts":[["2010"]]},"page":"209-243","title":"Embedding local places in global spaces: Geographical indications as a territorial development strategy","type":"article-journal","volume":"75"},"uris":["http://www.mendeley.com/documents/?uuid=41288291-e66a-433d-bd5a-6912780c5c96"]}],"mendeley":{"formattedCitation":"(BÉRARD; MARCHENAY, 2006; BOWEN, 2010; DE ROEST; MENGHI, 2000; LAMARQUE; LAMBIN, 2015; PANTERA &lt;i&gt;et al.&lt;/i&gt;, 2018; PLIENINGER &lt;i&gt;et al.&lt;/i&gt;, 2018; QUETIER; MARTY; LEPART, 2005; SU; WALL; WANG, 2019; SWAGEMAKERS &lt;i&gt;et al.&lt;/i&gt;, 2014; TASHIRO; UCHIYAMA; KOHSAKA, 2019)","plainTextFormattedCitation":"(BÉRARD; MARCHENAY, 2006; BOWEN, 2010; DE ROEST; MENGHI, 2000; LAMARQUE; LAMBIN, 2015; PANTERA et al., 2018; PLIENINGER et al., 2018; QUETIER; MARTY; LEPART, 2005; SU; WALL; WANG, 2019; SWAGEMAKERS et al., 2014; TASHIRO; UCHIYAMA; KOHSAKA, 2019)","previouslyFormattedCitation":"(BÉRARD; MARCHENAY, 2006; BOWEN, 2010b; DE ROEST; MENGHI, 2000; LAMARQUE; LAMBIN, 2015; PANTERA &lt;i&gt;et al.&lt;/i&gt;, 2018; PLIENINGER &lt;i&gt;et al.&lt;/i&gt;, 2018; QUETIER; MARTY; LEPART, 2005; SU; WALL; WANG, 2019; SWAGEMAKERS &lt;i&gt;et al.&lt;/i&gt;, 2014; TASHIRO; UCHIYAMA; KOHSAKA, 2019)"},"properties":{"noteIndex":0},"schema":"https://github.com/citation-style-language/schema/raw/master/csl-citation.json"}</w:instrText>
            </w:r>
            <w:r w:rsidRPr="001C69EC">
              <w:rPr>
                <w:rFonts w:ascii="Arial" w:eastAsia="Times New Roman" w:hAnsi="Arial" w:cs="Arial"/>
                <w:noProof/>
                <w:lang w:val="fr-FR" w:eastAsia="pt-BR"/>
              </w:rPr>
              <w:fldChar w:fldCharType="separate"/>
            </w:r>
            <w:r w:rsidRPr="001C69EC">
              <w:rPr>
                <w:rFonts w:ascii="Arial" w:eastAsia="Times New Roman" w:hAnsi="Arial" w:cs="Arial"/>
                <w:noProof/>
                <w:lang w:val="fr-FR" w:eastAsia="pt-BR"/>
              </w:rPr>
              <w:t xml:space="preserve">(BÉRARD; MARCHENAY, 2006; BOWEN, 2010; DE ROEST; MENGHI, 2000; LAMARQUE; LAMBIN, 2015; PANTERA </w:t>
            </w:r>
            <w:r w:rsidRPr="001C69EC">
              <w:rPr>
                <w:rFonts w:ascii="Arial" w:eastAsia="Times New Roman" w:hAnsi="Arial" w:cs="Arial"/>
                <w:i/>
                <w:noProof/>
                <w:lang w:val="fr-FR" w:eastAsia="pt-BR"/>
              </w:rPr>
              <w:t>et al.</w:t>
            </w:r>
            <w:r w:rsidRPr="001C69EC">
              <w:rPr>
                <w:rFonts w:ascii="Arial" w:eastAsia="Times New Roman" w:hAnsi="Arial" w:cs="Arial"/>
                <w:noProof/>
                <w:lang w:val="fr-FR" w:eastAsia="pt-BR"/>
              </w:rPr>
              <w:t xml:space="preserve">, 2018; PLIENINGER </w:t>
            </w:r>
            <w:r w:rsidRPr="001C69EC">
              <w:rPr>
                <w:rFonts w:ascii="Arial" w:eastAsia="Times New Roman" w:hAnsi="Arial" w:cs="Arial"/>
                <w:i/>
                <w:noProof/>
                <w:lang w:val="fr-FR" w:eastAsia="pt-BR"/>
              </w:rPr>
              <w:t>et al.</w:t>
            </w:r>
            <w:r w:rsidRPr="001C69EC">
              <w:rPr>
                <w:rFonts w:ascii="Arial" w:eastAsia="Times New Roman" w:hAnsi="Arial" w:cs="Arial"/>
                <w:noProof/>
                <w:lang w:val="fr-FR" w:eastAsia="pt-BR"/>
              </w:rPr>
              <w:t xml:space="preserve">, 2018; QUETIER; MARTY; LEPART, 2005; SU; WALL; WANG, 2019; SWAGEMAKERS </w:t>
            </w:r>
            <w:r w:rsidRPr="001C69EC">
              <w:rPr>
                <w:rFonts w:ascii="Arial" w:eastAsia="Times New Roman" w:hAnsi="Arial" w:cs="Arial"/>
                <w:i/>
                <w:noProof/>
                <w:lang w:val="fr-FR" w:eastAsia="pt-BR"/>
              </w:rPr>
              <w:t>et al.</w:t>
            </w:r>
            <w:r w:rsidRPr="001C69EC">
              <w:rPr>
                <w:rFonts w:ascii="Arial" w:eastAsia="Times New Roman" w:hAnsi="Arial" w:cs="Arial"/>
                <w:noProof/>
                <w:lang w:val="fr-FR" w:eastAsia="pt-BR"/>
              </w:rPr>
              <w:t>, 2014; TASHIRO; UCHIYAMA; KOHSAKA, 2019)</w:t>
            </w:r>
            <w:r w:rsidRPr="001C69EC">
              <w:rPr>
                <w:rFonts w:ascii="Arial" w:eastAsia="Times New Roman" w:hAnsi="Arial" w:cs="Arial"/>
                <w:noProof/>
                <w:lang w:val="fr-FR" w:eastAsia="pt-BR"/>
              </w:rPr>
              <w:fldChar w:fldCharType="end"/>
            </w:r>
          </w:p>
        </w:tc>
      </w:tr>
      <w:tr w:rsidR="001C69EC" w:rsidRPr="001C69EC" w14:paraId="67C80F03" w14:textId="77777777" w:rsidTr="00533B63">
        <w:trPr>
          <w:trHeight w:val="255"/>
        </w:trPr>
        <w:tc>
          <w:tcPr>
            <w:tcW w:w="4815" w:type="dxa"/>
            <w:noWrap/>
            <w:hideMark/>
          </w:tcPr>
          <w:p w14:paraId="778F46E6" w14:textId="77777777" w:rsidR="001C69EC" w:rsidRPr="001C69EC" w:rsidRDefault="001C69EC" w:rsidP="00533B63">
            <w:pPr>
              <w:rPr>
                <w:rFonts w:ascii="Arial" w:eastAsia="Times New Roman" w:hAnsi="Arial" w:cs="Arial"/>
                <w:lang w:val="fr-FR" w:eastAsia="pt-BR"/>
              </w:rPr>
            </w:pPr>
            <w:r w:rsidRPr="001C69EC">
              <w:rPr>
                <w:rFonts w:ascii="Arial" w:eastAsia="Times New Roman" w:hAnsi="Arial" w:cs="Arial"/>
                <w:lang w:val="fr-FR" w:eastAsia="pt-BR"/>
              </w:rPr>
              <w:t>Barreira contra a intensificação produtiva; manutenção de técnicas produtivas tradicionais, menos intensivas e menos mecanizadas; menor número de animais por unidade de área de pastagem.</w:t>
            </w:r>
          </w:p>
        </w:tc>
        <w:tc>
          <w:tcPr>
            <w:tcW w:w="3969" w:type="dxa"/>
          </w:tcPr>
          <w:p w14:paraId="4E9FE95A" w14:textId="529C50E3"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val="fr-FR" w:eastAsia="pt-BR"/>
              </w:rPr>
              <w:instrText xml:space="preserve">ADDIN CSL_CITATION {"citationItems":[{"id":"ITEM-1","itemData":{"ISSN":"0264-8377","abstract":"&lt;p&gt;•Environmental rules of 107 EU olive-oil geographical indications (GI) are analyzed.•Environmental concerns are not very explicitly considered in Product Specifications.•There appears to exist a ‘greening’ of Product Specifications over time.•Protected GIs play environmentally positive roles, albeit indirectly in many cases.•Public policies can strengthen the environmental role of Protected GIs.&lt;/p&gt; &lt;p&gt;The link between food and the environment constitutes a core issue from the consumer’s point of view and in the political debate. Geographical indication products, due to their association with specific territories and links to specific local resources, can improve economic, social and environmental sustainability.&lt;/p&gt; &lt;p&gt;The present paper investigates the relationship between the legal protection of geographical indications and the environment, analyzing the Product Specifications of the 107 olive-oil geographical indications registered in the European </w:instrText>
            </w:r>
            <w:r w:rsidRPr="001C69EC">
              <w:rPr>
                <w:rFonts w:ascii="Arial" w:eastAsia="Times New Roman" w:hAnsi="Arial" w:cs="Arial"/>
                <w:lang w:eastAsia="pt-BR"/>
              </w:rPr>
              <w:instrText>Union....","author":[{"dropping-particle":"","family":"Belletti","given":"Giovanni","non-dropping-particle":"","parse-names":false,"suffix":""},{"dropping-particle":"","family":"Marescotti","given":"Andrea","non-dropping-particle":"","parse-names":false,"suffix":""},{"dropping-particle":"","family":"Sanz-Cañada","given":"Javier","non-dropping-particle":"","parse-names":false,"suffix":""},{"dropping-particle":"","family":"Vakoufaris","given":"Hristos","non-dropping-particle":"","parse-names":false,"suffix":""}],"container-title":"Land Use Policy","id":"ITEM-1","issued":{"date-parts":[["2015"]]},"page":"94-106","publisher":"Elsevier Ltd","title":"Linking protection of geographical indications to the environment: Evidence from the European Union olive-oil sector","type":"article-journal","volume":"48"},"uris":["http://www.mendeley.com/documents/?uuid=9f083e84-a627-4b3e-b020-4d731d0bebf2"]},{"id":"ITEM-2","itemData":{"DOI":"10.1111/j.1468-2451.2006.00592.x","ISSN":"00208701","abstract":"The debate and negotiations in progress at the international level concerning the protection of geographical indications (GI) are of direct interest to the local agricultural products and foodstuffs called terroir products. Beyond the protection of the use of their name, which is the founding principle of this system, and the legal and economic considerations this system implies, new questions are being raised about these products concerning the diversification of farming and sustainable development. More and more, and in a favourable context, another major issue is becoming apparent: the biological and cultural diversity linked to these products. This questioning concerns the status and the future of these local resources in our societies and whether or not GIs can help maintain this diversity. Protecting local and traditional products through the GI system can contribute to conserving biodiversity at various levels: domestic animal breeds, plant varieties, microbial ecosystems, and landscapes. This is also a way of maintaining in a formal way shared knowledge and practices, since they underpin the protected resource. Taking account of these elements offers an opportunity to think about agriculture differently and leads us to propose an innovative approach to local products. Several examples taken in France will help show how links can be established between the protection of GI, cultural biodiversity, and local knowledge. © UNESCO 2006.","author":[{"dropping-particle":"","family":"Bérard","given":"Laurence","non-dropping-particle":"","parse-names":false,"suffix":""},{"dropping-particle":"","family":"Marchenay","given":"Philippe","non-dropping-particle":"","parse-names":false,"suffix":""}],"container-title":"International Social Science Journal","id":"ITEM-2","issue":"187","issued":{"date-parts":[["2006"]]},"page":"109-116","title":"Local products and geographical indications: Taking account of local knowledge and biodiversity","type":"article-journal","volume":"58"},"uris":["http://www.mendeley.com/documents/?uuid=6dda118e-fcf2-4442-b722-01979c2097cf"]},{"id":"ITEM-3","itemData":{"DOI":"10.1007/s10531-015-0994-5","ISSN":"15729710","abstract":"Understanding the latent relationship between rural landscape and biodiversity conservation is of key importance when aiming to preserve food security, ecosystem services and the quality of the environment. Crop intensification negatively impacted the biodiversity of rural areas and was followed by the adoption of mono-cultural production models. The conservation of traditional agricultural landscapes (TALs) based on traditional land management approaches, ensures the conservation of the ecosystem’s complexity and high levels of biodiversity. In Europe, Mediterranean TALs are threatened by a combination of anthropogenic and natural factors. The need to preserve TALs is widely recognized despite the lack of comprehensive information and collective policy strategies. On the other hand, inventories are available for endangered cultivars, typical products and traditional agricultural practices. This study focuses on the relationship between TALs and the use of local varieties/typical products. The analysis will: (i) define, map and characterize the tree-crop based traditional landscapes in one of the Mediterranean regions (Latium, central Italy) through a land-use change detection analysis (1960–2000) and (ii) identify the most endangered TALs based on environmental risk factors, on autochthonous agro-biodiversity at risk of varietal erosion and on traditional products that risk to disappear. Results prove that the most endangered rural landscapes are the ones located on fringe and marginal lands due to climate aridity and soil erosion. The identification of the endangered TALs contributes to constructing more effective strategies for the preservation of agro-biodiversity and natural ecosystem functionality.","author":[{"dropping-particle":"","family":"Biasi","given":"Rita","non-dropping-particle":"","parse-names":false,"suffix":""},{"dropping-particle":"","family":"Brunori","given":"Elena","non-dropping-particle":"","parse-names":false,"suffix":""},{"dropping-particle":"","family":"Smiraglia","given":"Daniela","non-dropping-particle":"","parse-names":false,"suffix":""},{"dropping-particle":"","family":"Salvati","given":"Luca","non-dropping-particle":"","parse-names":false,"suffix":""}],"container-title":"Biodiversity and Conservation","id":"ITEM-3","issue":"12","issued":{"date-parts":[["2015"]]},"page":"3009-3031","publisher":"Springer Netherlands","title":"Linking traditional tree-crop landscapes and agro-biodiversity in central Italy using a database of typical and traditional products: a multiple risk assessment through a data mining analysis","type":"article-journal","volume":"24"},"uris":["http://www.mendeley.com/documents/?uuid=11c458a5-2abf-4f78-864c-da2874bc43ae"]},{"id":"ITEM-4","itemData":{"DOI":"10.1111/j.1549-0831.2009.00007.x","ISSN":"00360112","abstract":"Geographical indications (GIs) are place-based names that conveythe geographical origin, as well as the cultural and historical identity, of agricultural products. GIs are unique, in that they provide ameans of ensuring that control over production and sales of a product stays within a local area, but at the same time they make use of extralocal markets. Although control over GIs largely rests with local actors, GIs are nested in wider regional, national, and international networks; and the passage from local to extralocal markets introduces new costs and benefits and new relations of power into the supply chain. The degree to which GI protection spurs development and protects local environmental and cultural resources depends on the structure of the GI legislation and on the territorial context in which protection is embedded. Using a commodity-chains approach, I compare two GI production systems, tequila in Mexico and Comté cheese in France, in order to develop a theory of the factors that contribute to more sustainable, equitable GI production systems. I argue that three key differences in the design of the GI schemes help to explain the varying effects of the two cases: (1) the manner in which supply-chain actors define quality, (2) the way that the GI valorizes the terroir of the region, and (3) the strength and cohesion that the collective organizing body exhibits. Moreover, the institutional and political context in which GI supply chains \"touch down\" plays a critical role. Contrary to a conceptualization of GIs as compatible with a purely market-oriented model, my comparison of these two cases indicates that some level of state involvement, in order to level the playing field and empower small farmers, is a necessary, although not sufficient, precondition for successful and sustainable GIs. © 2010, by the Rural Sociological Society.","author":[{"dropping-particle":"","family":"Bowen","given":"Sarah","non-dropping-particle":"","parse-names":false,"suffix":""}],"container-title":"Rural Sociology","id":"ITEM-4","issue":"2","issued":{"date-parts":[["2010"]]},"page":"209-243","title":"Embedding local places in global spaces: Geographical indications as a territorial development strategy","type":"article-journal","volume":"75"},"uris":["http://www.mendeley.com/documents/?uuid=41288291-e66a-433d-bd5a-6912780c5c96"]},{"id":"ITEM-5","itemData":{"DOI":"10.4081/ija.2017.793","ISSN":"11254718","abstract":"In the context of increasing attention towards sustainable and high quality food products, Italy plays a key role in Europe due to its embedded territorial vocation for locally produced food and alternative agriculture systems helping biodiversity and landscape preservation. Here, we report an overview of Italian agriculture by analysing organic farming (OF) and geographical indication (GI) systems and their contribution to the national agriculture. Land use data highlight that OF and GI contribute around 10% to the utilised agriculture area (UAA), with relevant distinctions in terms of regional distribution. While GIs are mostly in the north-central regions (8.5%), OF products are most frequent in the south and on the islands (5.0% of UAA). This trend was observed on the one hand in Trentino-South Tirol, Veneto and Friuli-Venezia Giulia (%UAA GI/%UAA OF&gt;5.9), and on the other in Calabria, Basilicata and Sicily (%UAA GI/%UAA OF&lt;0.1). Similarly, both systems are widespread in less-favoured areas in terms of agricultural intensification, providing support to preserve agro-systems and reduce land abandonment.","author":[{"dropping-particle":"","family":"Dal Ferro","given":"Nicola","non-dropping-particle":"","parse-names":false,"suffix":""},{"dropping-particle":"","family":"Borin","given":"Maurizio","non-dropping-particle":"","parse-names":false,"suffix":""}],"container-title":"Italian Journal of Agronomy","id":"ITEM-5","issue":"2","issued":{"date-parts":[["2017"]]},"page":"133-143","title":"Environment, agro-system and quality of food production in Italy","type":"article-journal","volume":"12"},"uris":["http://www.mendeley.com/documents/?uuid=59753205-fa6f-4c50-aef9-e93bdd2dc135"]},{"id":"ITEM-6","itemData":{"DOI":"10.1111/1467-9523.00159","ISSN":"00380199","abstract":"Amongst the hundreds of cases of regional specific products being produced all over Europe, the Parmigiano Reggiano cheese system can be considered one of the most eloquent, mature and successful examples avant la lettre of rural development. About 8,000 dairy farmers, cheese dairies and ripening firms comply with the strict production regulations that guarantee the specificity of this product. Employment in the Parmigiano Reggiano production system is twice as high as in the industrial dairy system and the pressure of the system on the environment is significantly lower. As Parmigiano Reggiano cheese has to compete on the same market as more industrial Grana cheeses, the system is not immune to the cost-price squeeze affecting European agriculture. The accelerated introduction of cost reducing technologies may compromise the typicality of the product, endanger its competitive position on the market and weaken its future collective performance. A convergence of views and a strong cohesion among actors is necessary to reach new agreements about the direction being taken by technological development in order to safeguard the success Parmigiano Regiano cheese has been able to generate in the past.","author":[{"dropping-particle":"","family":"Roest","given":"Kees","non-dropping-particle":"De","parse-names":false,"suffix":""},{"dropping-particle":"","family":"Menghi","given":"Alberto","non-dropping-particle":"","parse-names":false,"suffix":""}],"container-title":"Sociologia Ruralis","id":"ITEM-6","issue":"4","issued":{"date-parts":[["2000"]]},"page":"439-451","title":"Reconsidering 'traditional' food: The case of Parmigiano Reggiano cheese","type":"article-journal","volume":"40"},"uris":["http://www.mendeley.com/documents/?uuid=de4bf68f-9f0a-42bc-b2d1-8fb0916edde9"]},{"id":"ITEM-7","itemData":{"DOI":"10.1016/j.landusepol.2014.10.009","ISSN":"02648377","abstract":"Consumers express a growing interest for local and quality foods certified by their origin and their environmental production standards. This has led to the emergence of certified products meeting sustainability criteria. Because consumers are willing to pay a price premium for sustainably produced commodities, these certifications act as market-based instruments to promote sustainable land use. Among Geographical Indications (GIs) labels, the two European Union GIs - called Protection of Designation of Origin (PDO) and Protection of Geographical Indication (PGI) - can be considered as agricultural product certification. These GIs identify a good as originating from a region where a given quality, reputation or other characteristic of the good is attributable to its geographical origin. Land use is potentially affected by GIs because product characteristics are associated with the biophysical attributes of the terroir and some product specifications relate to land management practices. Little empirical evidence substantiates the claim that GIs have an impact on land use. The objective of this study was to understand whether Geographical Indications are an effective market-based instrument to promote conservation of extensive land use practices in marginal mountain areas. We conducted farm surveys along a gradient of GI requirements for the following similar cheese products: Tomme de Savoie PGI, Tomme de Savoie EQC, and Tome des Bauges PDO. We tested the hypothesis that the more stringent PDO requirements were associated with more extensive agricultural practices and provided more benefits to farmers. Results showed that the strict standards of PGI and PDO are associated with greater benefits for farmers and more extensive agricultural practices. In comparison to PGI farmers, PDO farmers obtain higher price premiums and gain more knowledge. More extensive practices are observed on PDO farms but the differences between labels are minor. Our results also reveal a great variability in agricultural practices among farms of a same label. Farmers have various motivations for labelling their product.","author":[{"dropping-particle":"","family":"Lamarque","given":"Pénélope","non-dropping-particle":"","parse-names":false,"suffix":""},{"dropping-particle":"","family":"Lambin","given":"Eric F.","non-dropping-particle":"","parse-names":false,"suffix":""}],"container-title":"Land Use Policy","id":"ITEM-7","issued":{"date-parts":[["2015"]]},"page":"706-717","publisher":"Elsevier Ltd","title":"The effectiveness of marked-based instruments to foster the conservation of extensive land use: The case of Geographical Indications in the French Alps","type":"article-journal","volume":"42"},"uris":["http://www.mendeley.com/documents/?uuid=e6e64e9b-53ea-4441-9dce-939972095067"]},{"id":"ITEM-8","itemData":{"DOI":"10.1007/s10457-017-0181-7","ISBN":"1045701701817","ISSN":"15729680","abstract":"Most farm-based agroforestry projects focus on the integration of trees on arable or livestock enterprises. This paper focuses on the integration of understorey crops and/or livestock within high value tree systems (e.g., apple orchards, olive groves, chestnut woodlands, and walnut plantations), and describes the components, structure, ecosystem services and economic value of ten case studies of this type of agroforestry across Europe. Although their ecological and socio-economic contexts vary, the systems share some common characteristics. The primary objective of the farmer is likely to remain the value of tree products like apples, olives, oranges, or nuts, or particularly high value timber. However there can still be production, environmental or economic benefits of integrating agricultural crops such as chickpeas and barley, or grazing an understorey grass crop with livestock. Three of the systems focused on the grazing of apple orchards with sheep in the UK and France. The introduction of sheep to apple orchards can minimise the need for mowing and provide an additional source of revenue. Throughout the Mediterranean, there is a need to improve the financial viability of olive groves. The case studies illustrate the possibility of intercropping traditional olive stands with chickpea in Greece, or the intercropping of wild asparagus in high density olive groves in Italy. Another system studied in Greece involves orange trees intercropped with chickpeas. Stands of chestnut trees in North-west Spain can provide feed for pigs when the fruit falls in November, and provide an excellent habitat for the commercial production of edible mushrooms. In Spain, in the production of high quality walnut trees using rotations of up to 50–60 years, there are options to establish a legume-based mixed pasture understorey and to introduce sheep to provide financial and environmental benefits.","author":[{"dropping-particle":"","family":"Pantera","given":"A.","non-dropping-particle":"","parse-names":false,"suffix":""},{"dropping-particle":"","family":"Burgess","given":"P. J.","non-dropping-particle":"","parse-names":false,"suffix":""},{"dropping-particle":"","family":"Mosquera Losada","given":"R.","non-dropping-particle":"","parse-names":false,"suffix":""},{"dropping-particle":"","family":"Moreno","given":"G.","non-dropping-particle":"","parse-names":false,"suffix":""},{"dropping-particle":"","family":"López-Díaz","given":"M. L.","non-dropping-particle":"","parse-names":false,"suffix":""},{"dropping-particle":"","family":"Corroyer","given":"N.","non-dropping-particle":"","parse-names":false,"suffix":""},{"dropping-particle":"","family":"McAdam","given":"J.","non-dropping-particle":"","parse-names":false,"suffix":""},{"dropping-particle":"","family":"Rosati","given":"A.","non-dropping-particle":"","parse-names":false,"suffix":""},{"dropping-particle":"","family":"Papadopoulos","given":"A. M.","non-dropping-particle":"","parse-names":false,"suffix":""},{"dropping-particle":"","family":"Graves","given":"A.","non-dropping-particle":"","parse-names":false,"suffix":""},{"dropping-particle":"","family":"Rigueiro Rodríguez","given":"A.","non-dropping-particle":"","parse-names":false,"suffix":""},{"dropping-particle":"","family":"Ferreiro-Domínguez","given":"N.","non-dropping-particle":"","parse-names":false,"suffix":""},{"dropping-particle":"","family":"Fernández Lorenzo","given":"J. L.","non-dropping-particle":"","parse-names":false,"suffix":""},{"dropping-particle":"","family":"González-Hernández","given":"M. P.","non-dropping-particle":"","parse-names":false,"suffix":""},{"dropping-particle":"","family":"Papanastasis","given":"V. P.","non-dropping-particle":"","parse-names":false,"suffix":""},{"dropping-particle":"","family":"Mantzanas","given":"K.","non-dropping-particle":"","parse-names":false,"suffix":""},{"dropping-particle":"","family":"Lerberghe","given":"P.","non-dropping-particle":"Van","parse-names":false,"suffix":""},{"dropping-particle":"","family":"Malignier","given":"N.","non-dropping-particle":"","parse-names":false,"suffix":""}],"container-title":"Agroforestry Systems","id":"ITEM-8","issue":"4","issued":{"date-parts":[["2018"]]},"page":"945-959","title":"Agroforestry for high value tree systems in Europe","type":"article-journal","volume":"92"},"uris":["http://www.mendeley.com/documents/?uuid=b547f5af-dc71-4c96-b68c-e3782ec4f72a"]},{"id":"ITEM-9","itemData":{"DOI":"10.1016/j.agsy.2004.05.005","ISSN":"0308521X","abstract":"Cultural landscapes in Europe provide a wide range of food products and fulfil social and environmental functions. In order to maintain agricultural practices that contribute to maintaining the biological and cultural value of semi-natural landscapes, agri-environmental schemes are being implemented in many western European countries. In the mountains of southern Europe a major issue is the encroachment of shrubs and trees through natural forest succession following agro-pastoral extensification. In this paper we analyse trends in land use strategies of sheep breeders in response to milk pricing and in relation to various within-farm mechanisms. We show that changes in production rules within the Roquefort cheese protected geographical indication have caused farmers to develop an alternative land use strategy. In this alternative model, farmers now consider rangelands as a valuable resource. By increasing the use of rangelands for sheep grazing and alimentation, this new strategy provides a more effective control of shrub and tree encroachment. We suggest that this involuntary consequence of production and market decisions has been at least as important as agri-environmental schemes in leading ewes' milk producers to make changes in their land use strategy. © 2004 Elsevier Ltd. All rights reserved.","author":[{"dropping-particle":"","family":"Quetier","given":"Fabien","non-dropping-particle":"","parse-names":false,"suffix":""},{"dropping-particle":"","family":"Marty","given":"Pascal","non-dropping-particle":"","parse-names":false,"suffix":""},{"dropping-particle":"","family":"Lepart","given":"Jacques","non-dropping-particle":"","parse-names":false,"suffix":""}],"container-title":"Agricultural Systems","id":"ITEM-9","issue":"2","issued":{"date-parts":[["2005"]]},"page":"171-193","title":"Farmers' management strategies and land use in an agropastoral landscape: Roquefort cheese production rules as a driver of change","type":"article-journal","volume":"84"},"uris":["http://www.mendeley.com/documents/?uuid=64ffe080-0d5c-452a-a813-6632ffc60d87"]},{"id":"ITEM-10","itemData":{"DOI":"10.1080/00167223.2013.876206","ISSN":"00167223","abstract":"Economic optimisation of the gross margin per hectare in agriculture reduces diversity, coherence and identity of cultural landscapes. Hence, landscape preservation calls for changes in the social–ecological organisation of places, which implies complex transitional processes towards new management regimes. These are supported by CAP reforms (Horizon, 2014–2020) that increasingly turn from individual production subsidies to farmers to the collective management of natural resources and the related ecosystem services. This article explores the opportunities for landscape preservation in Galicia, Spain. The central question is: ‘How to develop a successful planning approach in the context of a geographically peripheral area facing severe ecological, social and economic vulnerabilities?’ In the case study area, contrasting viewpoints on landscape preservation among rural dwellers, entrepreneurs and representatives of institutions point to power issues on control over the natural environment, but also provide input for the development of an actor-oriented approach to landscape preservation. This article provides a ‘tool’ for catching up with the EU objectives of sustainable, inclusive and smart growth and contributes to our understanding of how place-based development in EU programs can be combined with landscape management in Galicia.","author":[{"dropping-particle":"","family":"Swagemakers","given":"Paul","non-dropping-particle":"","parse-names":false,"suffix":""},{"dropping-particle":"","family":"Copena Rodríguez","given":"Damian","non-dropping-particle":"","parse-names":false,"suffix":""},{"dropping-particle":"","family":"Domínguez García","given":"María Dolores","non-dropping-particle":"","parse-names":false,"suffix":""},{"dropping-particle":"","family":"Simón Fernández","given":"Xavier","non-dropping-particle":"","parse-names":false,"suffix":""}],"container-title":"Geografisk Tidsskrift","id":"ITEM-10","issue":"2","issued":{"date-parts":[["2014"]]},"page":"109-118","publisher":"Routledge","title":"Fighting for a future: an actor-oriented planning approach to landscape preservation in Galicia","type":"article-journal","volume":"114"},"uris":["http://www.mendeley.com/documents/?uuid=63add8fb-b9dd-49c0-9623-d26e72e48d23"]}],"mendeley":{"formattedCitation":"(BELLETTI &lt;i&gt;et al.&lt;/i&gt;, 2015; BÉRARD; MARCHENAY, 2006; BIASI &lt;i&gt;et al.&lt;/i&gt;, 2015; BOWEN, 2010; DAL FERRO; BORIN, 2017; DE ROEST; MENGHI, 2000; LAMARQUE; LAMBIN, 2015; PANTERA &lt;i&gt;et al.&lt;/i&gt;, 2018; QUETIER; MARTY; LEPART, 2005; SWAGEMAKERS &lt;i&gt;et al.&lt;/i&gt;, 2014)","plainTextFormattedCitation":"(BELLETTI et al., 2015; BÉRARD; MARCHENAY, 2006; BIASI et al., 2015; BOWEN, 2010; DAL FERRO; BORIN, 2017; DE ROEST; MENGHI, 2000; LAMARQUE; LAMBIN, 2015; PANTERA et al., 2018; QUETIER; MARTY; LEPART, 2005; SWAGEMAKERS et al., 2014)","previouslyFormattedCitation":"(BELLETTI &lt;i&gt;et al.&lt;/i&gt;, 2015; BÉRARD; MARCHENAY, 2006; BIASI &lt;i&gt;et al.&lt;/i&gt;, 2015; BOWEN, 2010b; DAL FERRO; BORIN, 2017; DE ROEST; MENGHI, 2000; LAMARQUE; LAMBIN, 2015; PANTERA &lt;i&gt;et al.&lt;/i&gt;, 2018; QUETIER; MARTY; LEPART, 2005; SWAGEMAKERS &lt;i&gt;et al.&lt;/i&gt;, 2014)"},"properties":{"noteIndex":0},"schema":"https://github.com/citation-style-language/schema/raw/master/csl-citation.json"}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(BELLETTI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2015; BÉRARD; MARCHENAY, 2006; BIASI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2015; BOWEN, 2010; DAL FERRO; BORIN, 2017; DE ROEST; MENGHI, 2000; LAMARQUE; LAMBIN, 2015; PANTERA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2018; QUETIER; MARTY; LEPART, 2005; SWAGEMAKERS </w:t>
            </w:r>
            <w:r w:rsidRPr="001C69EC">
              <w:rPr>
                <w:rFonts w:ascii="Arial" w:eastAsia="Times New Roman" w:hAnsi="Arial" w:cs="Arial"/>
                <w:i/>
                <w:noProof/>
                <w:lang w:eastAsia="pt-BR"/>
              </w:rPr>
              <w:t>et al.</w:t>
            </w:r>
            <w:r w:rsidRPr="001C69EC">
              <w:rPr>
                <w:rFonts w:ascii="Arial" w:eastAsia="Times New Roman" w:hAnsi="Arial" w:cs="Arial"/>
                <w:noProof/>
                <w:lang w:eastAsia="pt-BR"/>
              </w:rPr>
              <w:t>, 2014)</w:t>
            </w:r>
            <w:r w:rsidRPr="001C69EC">
              <w:rPr>
                <w:rFonts w:ascii="Arial" w:eastAsia="Times New Roman" w:hAnsi="Arial" w:cs="Arial"/>
                <w:lang w:eastAsia="pt-BR"/>
              </w:rPr>
              <w:fldChar w:fldCharType="end"/>
            </w:r>
            <w:r w:rsidRPr="001C69EC">
              <w:rPr>
                <w:rFonts w:ascii="Arial" w:eastAsia="Times New Roman" w:hAnsi="Arial" w:cs="Arial"/>
                <w:lang w:eastAsia="pt-BR"/>
              </w:rPr>
              <w:t xml:space="preserve"> </w:t>
            </w:r>
          </w:p>
        </w:tc>
      </w:tr>
      <w:tr w:rsidR="001C69EC" w:rsidRPr="001C69EC" w14:paraId="3104A1FF" w14:textId="77777777" w:rsidTr="00533B63">
        <w:trPr>
          <w:trHeight w:val="255"/>
        </w:trPr>
        <w:tc>
          <w:tcPr>
            <w:tcW w:w="4815" w:type="dxa"/>
            <w:noWrap/>
          </w:tcPr>
          <w:p w14:paraId="00F4E6D2"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Diminuição e/ou maior controle quanto ao uso de adubos e pesticidas e maior incentivo ou priorização da produção orgânica.</w:t>
            </w:r>
          </w:p>
        </w:tc>
        <w:tc>
          <w:tcPr>
            <w:tcW w:w="3969" w:type="dxa"/>
          </w:tcPr>
          <w:p w14:paraId="4E47BC03" w14:textId="50C9D133"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{"citationItems":[{"id":"ITEM-1","itemData":{"ISSN":"0264-8377","abstract":"&lt;p&gt;•Environmental rules of 107 EU olive-oil geographical indications (GI) are analyzed.•Environmental concerns are not very explicitly considered in Product Specifications.•There appears to exist a ‘greening’ of Product Specifications over time.•Protected GIs play environmentally positive roles, albeit indirectly in many cases.•Public policies can strengthen the environmental role of Protected GIs.&lt;/p&gt; &lt;p&gt;The link between food and the environment constitutes a core issue from the consumer’s point of view and in the political debate. Geographical indication products, due to their association with specific territories and links to specific local resources, can improve economic, social and environmental sustainability.&lt;/p&gt; &lt;p&gt;The present paper investigates the relationship between the legal protection of geographical indications and the environment, analyzing the Product Specifications of the 107 olive-oil geographical indications registered in the European Union....","author":[{"dropping-particle":"","family":"Belletti","given":"Giovanni","non-dropping-particle":"","parse-names":false,"suffix":""},{"dropping-particle":"","family":"Marescotti","given":"Andrea","non-dropping-particle":"","parse-names":false,"suffix":""},{"dropping-particle":"","family":"Sanz-Cañada","given":"Javier","non-dropping-particle":"","parse-names":false,"suffix":""},{"dropping-particle":"","family":"Vakoufaris","given":"Hristos","non-dropping-particle":"","parse-names":false,"suffix":""}],"container-title":"Land Use Policy","id":"ITEM-1","issued":{"date-parts":[["2015"]]},"page":"94-106","publisher":"Elsevier Ltd","title":"Linking protection of geographical indications to the environment: Evidence from the European Union olive-oil sector","type":"article-journal","volume":"48"},"uris":["http://www.mendeley.com/documents/?uuid=9f083e84-a627-4b3e-b020-4d731d0bebf2"]},{"id":"ITEM-2","itemData":{"DOI":"10.1111/1467-9523.00159","ISSN":"00380199","abstract":"Amongst the hundreds of cases of regional specific products being produced all over Europe, the Parmigiano Reggiano cheese system can be considered one of the most eloquent, mature and successful examples avant la lettre of rural development. About 8,000 dairy farmers, cheese dairies and ripening firms comply with the strict production regulations that guarantee the specificity of this product. Employment in the Parmigiano Reggiano production system is twice as high as in the industrial dairy system and the pressure of the system on the environment is significantly lower. As Parmigiano Reggiano cheese has to compete on the same market as more industrial Grana cheeses, the system is not immune to the cost-price squeeze affecting European agriculture. The accelerated introduction of cost reducing technologies may compromise the typicality of the product, endanger its competitive position on the market and weaken its future collective performance. A convergence of views and a strong cohesion among actors is necessary to reach new agreements about the direction being taken by technological development in order to safeguard the success Parmigiano Regiano cheese has been able to generate in the past.","author":[{"dropping-particle":"","family":"Roest","given":"Kees","non-dropping-particle":"De","parse-names":false,"suffix":""},{"dropping-particle":"","family":"Menghi","given":"Alberto","non-dropping-particle":"","parse-names":false,"suffix":""}],"container-title":"Sociologia Ruralis","id":"ITEM-2","issue":"4","issued":{"date-parts":[["2000"]]},"page":"439-451","title":"Reconsidering 'traditional' food: The case of Parmigiano Reggiano cheese","type":"article-journal","volume":"40"},"uris":["http://www.mendeley.com/documents/?uuid=de4bf68f-9f0a-42bc-b2d1-8fb0916edde9"]},{"id":"ITEM-3","itemData":{"DOI":"10.1007/s10457-017-0181-7","ISBN":"1045701701817","ISSN":"15729680","abstract":"Most farm-based agroforestry projects focus on the integration of trees on arable or livestock enterprises. This paper focuses on the integration of understorey crops and/or livestock within high value tree systems (e.g., apple orchards, olive groves, chestnut woodlands, and walnut plantations), and describes the components, structure, ecosystem services and economic value of ten case studies of this type of agroforestry across Europe. Although their ecological and socio-economic contexts vary, the systems share some common characteristics. The primary objective of the farmer is likely to remain the value of tree products like apples, olives, oranges, or nuts, or particularly high value timber. However there can still be production, environmental or economic benefits of integrating agricultural crops such as chickpeas and barley, or grazing an understorey grass crop with livestock. Three of the systems focused on the grazing of apple orchards with sheep in the UK and France. The introduction of sheep to apple orchards can minimise the need for mowing and provide an additional source of revenue. Throughout the Mediterranean, there is a need to improve the financial viability of olive groves. The case studies illustrate the possibility of intercropping traditional olive stands with chickpea in Greece, or the intercropping of wild asparagus in high density olive groves in Italy. Another system studied in Greece involves orange trees intercropped with chickpeas. Stands of chestnut trees in North-west Spain can provide feed for pigs when the fruit falls in November, and provide an excellent habitat for the commercial production of edible mushrooms. In Spain, in the production of high quality walnut trees using rotations of up to 50–60 years, there are options to establish a legume-based mixed pasture understorey and to introduce sheep to provide financial and environmental benefits.","author":[{"dropping-particle":"","family":"Pantera","given":"A.","non-dropping-particle":"","parse-names":false,"suffix":""},{"dropping-particle":"","family":"Burgess","given":"P. J.","non-dropping-particle":"","parse-names":false,"suffix":""},{"dropping-particle":"","family":"Mosquera Losada","given":"R.","non-dropping-particle":"","parse-names":false,"suffix":""},{"dropping-particle":"","family":"Moreno","given":"G.","non-dropping-particle":"","parse-names":false,"suffix":""},{"dropping-particle":"","family":"López-Díaz","given":"M. L.","non-dropping-particle":"","parse-names":false,"suffix":""},{"dropping-particle":"","family":"Corroyer","given":"N.","non-dropping-particle":"","parse-names":false,"suffix":""},{"dropping-particle":"","family":"McAdam","given":"J.","non-dropping-particle":"","parse-names":false,"suffix":""},{"dropping-particle":"","family":"Rosati","given":"A.","non-dropping-particle":"","parse-names":false,"suffix":""},{"dropping-particle":"","family":"Papadopoulos","given":"A. M.","non-dropping-particle":"","parse-names":false,"suffix":""},{"dropping-particle":"","family":"Graves","given":"A.","non-dropping-particle":"","parse-names":false,"suffix":""},{"dropping-particle":"","family":"Rigueiro Rodríguez","given":"A.","non-dropping-particle":"","parse-names":false,"suffix":""},{"dropping-particle":"","family":"Ferreiro-Domínguez","given":"N.","non-dropping-particle":"","parse-names":false,"suffix":""},{"dropping-particle":"","family":"Fernández Lorenzo","given":"J. L.","non-dropping-particle":"","parse-names":false,"suffix":""},{"dropping-particle":"","family":"González-Hernández","given":"M. P.","non-dropping-particle":"","parse-names":false,"suffix":""},{"dropping-particle":"","family":"Papanastasis","given":"V. P.","non-dropping-particle":"","parse-names":false,"suffix":""},{"dropping-particle":"","family":"Mantzanas","given":"K.","non-dropping-particle":"","parse-names":false,"suffix":""},{"dropping-particle":"","family":"Lerberghe","given":"P.","non-dropping-particle":"Van","parse-names":false,"suffix":""},{"dropping-particle":"","family":"Malignier","given":"N.","non-dropping-particle":"","parse-names":false,"suffix":""}],"container-title":"Agroforestry Systems","id":"ITEM-3","issue":"4","issued":{"date-parts":[["2018"]]},"page":"945-959","title":"Agroforestry for high value tree systems in Europe","type":"article-journal","volume":"92"},"uris":["http://www.mendeley.com/documents/?uuid=b547f5af-dc71-4c96-b68c-e3782ec4f72a"]},{"id":"ITEM-4","itemData":{"DOI":"10.1007/s11625-017-0455-z","ISSN":"18624057","abstract":"Many Japanese and European landscapes harbor biocultural diversity that has been shaped by human agency over centuries. However, these landscapes are threatened by widespread land abandonment, land-use changes, and urbanization. The aim of this study is to use a “solution scanning” method to identify place-based food networks in Europe and Japan that reinforce linkages between biological and cultural diversity in landscapes. In our analysis of 26 European and 13 Japanese cases, we find that place-based food networks are typically located in heterogeneous landscapes, are driven by civil society (and less by markets), and act at a local scale. Regional identity is the most frequently addressed societal issue. Scenery, rural tourism, and nature conservation are more important motivations in Europe, and physical well-being and revitalization of local economies are more relevant in Japan. European models are typically associated with achieving biodiversity conservation and socio-cultural tradition outcomes, and Japanese models more with public health and nutrition outcomes. We discuss the potential for transfer of approaches from Japan to Europe (e.g., models that tackle the aging of rural societies), and from Europe to Japan (e.g., models that build explicit connections between food production and biodiversity conservation). We conclude with a list of recommended policy measures, e.g., the creation of a flexible legal framework that protects the interests of and reduces political constraints for collaborative efforts to biocultural diversity in landscapes.","author":[{"dropping-particle":"","family":"Plieninger","given":"Tobias","non-dropping-particle":"","parse-names":false,"suffix":""},{"dropping-particle":"","family":"Kohsaka","given":"Ryo","non-dropping-particle":"","parse-names":false,"suffix":""},{"dropping-particle":"","family":"Bieling","given":"Claudia","non-dropping-particle":"","parse-names":false,"suffix":""},{"dropping-particle":"","family":"Hashimoto","given":"Shizuka","non-dropping-particle":"","parse-names":false,"suffix":""},{"dropping-particle":"","family":"Kamiyama","given":"Chiho","non-dropping-particle":"","parse-names":false,"suffix":""},{"dropping-particle":"","family":"Kizos","given":"Thanasis","non-dropping-particle":"","parse-names":false,"suffix":""},{"dropping-particle":"","family":"Penker","given":"Marianne","non-dropping-particle":"","parse-names":false,"suffix":""},{"dropping-particle":"","family":"Kieninger","given":"Pia","non-dropping-particle":"","parse-names":false,"suffix":""},{"dropping-particle":"","family":"Shaw","given":"Brian J.","non-dropping-particle":"","parse-names":false,"suffix":""},{"dropping-particle":"","family":"Sioen","given":"Giles Bruno","non-dropping-particle":"","parse-names":false,"suffix":""},{"dropping-particle":"","family":"Yoshida","given":"Yuki","non-dropping-particle":"","parse-names":false,"suffix":""},{"dropping-particle":"","family":"Saito","given":"Osamu","non-dropping-particle":"","parse-names":false,"suffix":""}],"container-title":"Sustainability Science","id":"ITEM-4","issue":"1","issued":{"date-parts":[["2018"]]},"page":"219-233","publisher":"Springer Japan","title":"Fostering biocultural diversity in landscapes through place-based food networks: a “solution scan” of European and Japanese models","type":"article-journal","volume":"13"},"uris":["http://www.mendeley.com/documents/?uuid=5802e367-08b1-4f9a-a14b-5a9d358709eb"]},{"id":"ITEM-5","itemData":{"DOI":"10.1016/j.jrurstud.2019.03.014","ISSN":"07430167","abstract":"A Geographical Indication (GI) is expected to facilitate agri-environmental management in agricultural landscapes. Currently, local products from small-scale farms and national branded products with a relatively large scale of production are being registered using GI schemes. Considering the relationships among GI products, their agricultural landscapes, and traditional ecological knowledge (TEK), as a GI case study, we examined small GI farms in Odate City, Akita Prefecture, Japan, which produce edible plants called Tonburi. This research explored the complex cause-effect relationship between TEK and landscapes and found that the TEK of Tonburi production influenced biological diversity and vice versa. The TEK and skills of small farmers were confined to the family members of each farmer and were not shared at the community level until GI registration. However, the farmers shared their TEK of sustainable agricultural landscape management through the process of GI registration. Through negotiation between local agricultural cooperatives and farmers, TEK was provided as a form of cultural capital and shared with new producers after GI registration. We concluded that enclosed TEK negatively affects production maintenance and landscape management in the long term. However, the GI registration process contributes to the sharing of TEK as a form of cultural capital among Tonburi farmers.","author":[{"dropping-particle":"","family":"Tashiro","given":"Ai","non-dropping-particle":"","parse-names":false,"suffix":""},{"dropping-particle":"","family":"Uchiyama","given":"Yuta","non-dropping-particle":"","parse-names":false,"suffix":""},{"dropping-particle":"","family":"Kohsaka","given":"Ryo","non-dropping-particle":"","parse-names":false,"suffix":""}],"container-title":"Journal of Rural Studies","id":"ITEM-5","issue":"June 2018","issued":{"date-parts":[["2019"]]},"page":"46-53","publisher":"Elsevier","title":"Impact of Geographical Indication schemes on traditional knowledge in changing agricultural landscapes: An empirical analysis from Japan","type":"article-journal","volume":"68"},"uris":["http://www.mendeley.com/documents/?uuid=c6d20004-6752-4e29-83a2-66e7bfcfa393"]}],"mendeley":{"formattedCitation":"(BELLETTI &lt;i&gt;et al.&lt;/i&gt;, 2015; DE ROEST; MENGHI, 2000; PANTERA &lt;i&gt;et al.&lt;/i&gt;, 2018; PLIENINGER &lt;i&gt;et al.&lt;/i&gt;, 2018; TASHIRO; UCHIYAMA; KOHSAKA, 2019)","plainTextFormattedCitation":"(BELLETTI et al., 2015; DE ROEST; MENGHI, 2000; PANTERA et al., 2018; PLIENINGER et al., 2018; TASHIRO; UCHIYAMA; KOHSAKA, 2019)","previouslyFormattedCitation":"(BELLETTI &lt;i&gt;et al.&lt;/i&gt;, 2015; DE ROEST; MENGHI, 2000; PANTERA &lt;i&gt;et al.&lt;/i&gt;, 2018; PLIENINGER &lt;i&gt;et al.&lt;/i&gt;, 2018; TASHIRO; UCHIYAMA; KOHSAKA, 2019)"},"properties":{"noteIndex":0},"schema":"https://github.com/citation-style-language/schema/raw/master/csl-citation.json"}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(BELLETTI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2015; DE ROEST; MENGHI, 2000; PANTERA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2018; PLIENINGER </w:t>
            </w:r>
            <w:r w:rsidRPr="001C69EC">
              <w:rPr>
                <w:rFonts w:ascii="Arial" w:eastAsia="Times New Roman" w:hAnsi="Arial" w:cs="Arial"/>
                <w:i/>
                <w:noProof/>
                <w:lang w:eastAsia="pt-BR"/>
              </w:rPr>
              <w:t>et al.</w:t>
            </w:r>
            <w:r w:rsidRPr="001C69EC">
              <w:rPr>
                <w:rFonts w:ascii="Arial" w:eastAsia="Times New Roman" w:hAnsi="Arial" w:cs="Arial"/>
                <w:noProof/>
                <w:lang w:eastAsia="pt-BR"/>
              </w:rPr>
              <w:t>, 2018; TASHIRO; UCHIYAMA; KOHSAKA, 2019)</w:t>
            </w:r>
            <w:r w:rsidRPr="001C69EC">
              <w:rPr>
                <w:rFonts w:ascii="Arial" w:eastAsia="Times New Roman" w:hAnsi="Arial" w:cs="Arial"/>
                <w:lang w:eastAsia="pt-BR"/>
              </w:rPr>
              <w:fldChar w:fldCharType="end"/>
            </w:r>
            <w:r w:rsidRPr="001C69EC">
              <w:rPr>
                <w:rFonts w:ascii="Arial" w:eastAsia="Times New Roman" w:hAnsi="Arial" w:cs="Arial"/>
                <w:lang w:eastAsia="pt-BR"/>
              </w:rPr>
              <w:t xml:space="preserve"> </w:t>
            </w:r>
          </w:p>
        </w:tc>
      </w:tr>
      <w:tr w:rsidR="001C69EC" w:rsidRPr="001C69EC" w14:paraId="0E0F5A0F" w14:textId="77777777" w:rsidTr="00533B63">
        <w:trPr>
          <w:trHeight w:val="255"/>
        </w:trPr>
        <w:tc>
          <w:tcPr>
            <w:tcW w:w="4815" w:type="dxa"/>
            <w:noWrap/>
          </w:tcPr>
          <w:p w14:paraId="19C78FF3"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 xml:space="preserve">Conservação </w:t>
            </w:r>
            <w:r w:rsidRPr="001C69EC">
              <w:rPr>
                <w:rFonts w:ascii="Arial" w:eastAsia="Times New Roman" w:hAnsi="Arial" w:cs="Arial"/>
                <w:i/>
                <w:iCs/>
                <w:lang w:eastAsia="pt-BR"/>
              </w:rPr>
              <w:t xml:space="preserve">in situ </w:t>
            </w:r>
            <w:r w:rsidRPr="001C69EC">
              <w:rPr>
                <w:rFonts w:ascii="Arial" w:eastAsia="Times New Roman" w:hAnsi="Arial" w:cs="Arial"/>
                <w:lang w:eastAsia="pt-BR"/>
              </w:rPr>
              <w:t>de variedades vegetais e raças animais locais; controle da utilização de variedades exóticas, híbridas e transgênicas.</w:t>
            </w:r>
          </w:p>
        </w:tc>
        <w:tc>
          <w:tcPr>
            <w:tcW w:w="3969" w:type="dxa"/>
          </w:tcPr>
          <w:p w14:paraId="17EA2EBA" w14:textId="7AD8BB93" w:rsidR="001C69EC" w:rsidRPr="001C69EC" w:rsidRDefault="001C69EC" w:rsidP="00533B63">
            <w:pPr>
              <w:rPr>
                <w:rFonts w:ascii="Arial" w:eastAsia="Times New Roman" w:hAnsi="Arial" w:cs="Arial"/>
                <w:lang w:eastAsia="pt-BR"/>
              </w:rPr>
            </w:pPr>
            <w:r w:rsidRPr="001C69EC">
              <w:rPr>
                <w:rFonts w:ascii="Arial" w:eastAsia="Times New Roman" w:hAnsi="Arial" w:cs="Arial"/>
                <w:noProof/>
                <w:lang w:eastAsia="pt-BR"/>
              </w:rPr>
              <w:fldChar w:fldCharType="begin" w:fldLock="1"/>
            </w:r>
            <w:r w:rsidRPr="001C69EC">
              <w:rPr>
                <w:rFonts w:ascii="Arial" w:eastAsia="Times New Roman" w:hAnsi="Arial" w:cs="Arial"/>
                <w:noProof/>
                <w:lang w:eastAsia="pt-BR"/>
              </w:rPr>
              <w:instrText>ADDIN CSL_CITATION {"citationItems":[{"id":"ITEM-1","itemData":{"DOI":"10.1111/j.1468-2451.2006.00592.x","ISSN":"00208701","abstract":"The debate and negotiations in progress at the international level concerning the protection of geographical indications (GI) are of direct interest to the local agricultural products and foodstuffs called terroir products. Beyond the protection of the use of their name, which is the founding principle of this system, and the legal and economic considerations this system implies, new questions are being raised about these products concerning the diversification of farming and sustainable development. More and more, and in a favourable context, another major issue is becoming apparent: the biological and cultural diversity linked to these products. This questioning concerns the status and the future of these local resources in our societies and whether or not GIs can help maintain this diversity. Protecting local and traditional products through the GI system can contribute to conserving biodiversity at various levels: domestic animal breeds, plant varieties, microbial ecosystems, and landscapes. This is also a way of maintaining in a formal way shared knowledge and practices, since they underpin the protected resource. Taking account of these elements offers an opportunity to think about agriculture differently and leads us to propose an innovative approach to local products. Several examples taken in France will help show how links can be established between the protection of GI, cultural biodiversity, and local knowledge. © UNESCO 2006.","author":[{"dropping-particle":"","family":"Bérard","given":"Laurence","non-dropping-particle":"","parse-names":false,"suffix":""},{"dropping-particle":"","family":"Marchenay","given":"Philippe","non-dropping-particle":"","parse-names":false,"suffix":""}],"container-title":"International Social Science Journal","id":"ITEM-1","issue":"187","issued":{"date-parts":[["2006"]]},"page":"109-116","title":"Local products and geographical indications: Taking account of local knowledge and biodiversity","type":"article-journal","volume":"58"},"uris":["http://www.mendeley.com/documents/?uuid=6dda118e-fcf2-4442-b722-01979c2097cf"]},{"id":"ITEM-2","itemData":{"ISSN":"0264-8377","abstract":"&lt;p&gt;•Environmental rules of 107 EU olive-oil geographical indications (GI) are analyzed.•Environmental concerns are not very explicitly considered in Product Specifications.•There appears to exist a ‘greening’ of Product Specifications over time.•Protected GIs play environmentally positive roles, albeit indirectly in many cases.•Public policies can strengthen the environmental role of Protected GIs.&lt;/p&gt; &lt;p&gt;The link between food and the environment constitutes a core issue from the consumer’s point of view and in the political debate. Geographical indication products, due to their association with specific territories and links to specific local resources, can improve economic, social and environmental sustainability.&lt;/p&gt; &lt;p&gt;The present paper investigates the relationship between the legal protection of geographical indications and the environment, analyzing the Product Specifications of the 107 olive-oil geographical indications registered in the European Union....","author":[{"dropping-particle":"","family":"Belletti","given":"Giovanni","non-dropping-particle":"","parse-names":false,"suffix":""},{"dropping-particle":"","family":"Marescotti","given":"Andrea","non-dropping-particle":"","parse-names":false,"suffix":""},{"dropping-particle":"","family":"Sanz-Cañada","given":"Javier","non-dropping-particle":"","parse-names":false,"suffix":""},{"dropping-particle":"","family":"Vakoufaris","given":"Hristos","non-dropping-particle":"","parse-names":false,"suffix":""}],"container-title":"Land Use Policy","id":"ITEM-2","issued":{"date-parts":[["2015"]]},"page":"94-106","publisher":"Elsevier Ltd","title":"Linking protection of geographical indications to the environment: Evidence from the European Union olive-oil sector","type":"article-journal","volume":"48"},"uris":["http://www.mendeley.com/documents/?uuid=9f083e84-a627-4b3e-b020-4d731d0bebf2"]},{"id":"ITEM-3","itemData":{"DOI":"10.1007/s10531-015-0994-5","ISSN":"15729710","abstract":"Understanding the latent relationship between rural landscape and biodiversity conservation is of key importance when aiming to preserve food security, ecosystem services and the quality of the environment. Crop intensification negatively impacted the biodiversity of rural areas and was followed by the adoption of mono-cultural production models. The conservation of traditional agricultural landscapes (TALs) based on traditional land management approaches, ensures the conservation of the ecosystem’s complexity and high levels of biodiversity. In Europe, Mediterranean TALs are threatened by a combination of anthropogenic and natural factors. The need to preserve TALs is widely recognized despite the lack of comprehensive information and collective policy strategies. On the other hand, inventories are available for endangered cultivars, typical products and traditional agricultural practices. This study focuses on the relationship between TALs and the use of local varieties/typical products. The analysis will: (i) define, map and characterize the tree-crop based traditional landscapes in one of the Mediterranean regions (Latium, central Italy) through a land-use change detection analysis (1960–2000) and (ii) identify the most endangered TALs based on environmental risk factors, on autochthonous agro-biodiversity at risk of varietal erosion and on traditional products that risk to disappear. Results prove that the most endangered rural landscapes are the ones located on fringe and marginal lands due to climate aridity and soil erosion. The identification of the endangered TALs contributes to constructing more effective strategies for the preservation of agro-biodiversity and natural ecosystem functionality.","author":[{"dropping-particle":"","family":"Biasi","given":"Rita","non-dropping-particle":"","parse-names":false,"suffix":""},{"dropping-particle":"","family":"Brunori","given":"Elena","non-dropping-particle":"","parse-names":false,"suffix":""},{"dropping-particle":"","family":"Smiraglia","given":"Daniela","non-dropping-particle":"","parse-names":false,"suffix":""},{"dropping-particle":"","family":"Salvati","given":"Luca","non-dropping-particle":"","parse-names":false,"suffix":""}],"container-title":"Biodiversity and Conservation","id":"ITEM-3","issue":"12","issued":{"date-parts":[["2015"]]},"page":"3009-3031","publisher":"Springer Netherlands","title":"Linking traditional tree-crop landscapes and agro-biodiversity in central Italy using a database of typical and traditional products: a multiple risk assessment through a data mining analysis","type":"article-journal","volume":"24"},"uris":["http://www.mendeley.com/documents/?uuid=11c458a5-2abf-4f78-864c-da2874bc43ae"]},{"id":"ITEM-4","itemData":{"DOI":"10.1007/s10531-019-01908-3","ISBN":"0123456789","ISSN":"15729710","abstract":"This paper reports the results of a survey carried out in the Foggia province (Puglia Region, Italy) with the aims of: (1) assessing the level of diversity and distribution of the on-farm vegetable landraces, (2) identifying vegetable landrace-rich areas, and (3) analysing the main agro-ecological, socio-economic factors affecting their maintenance. Several territorial surveys were performed over four years and a total of 163 vegetable crop landraces were found at 52 sites, mostly cultivated on small farms or home gardens by elderly farmers. The surveyed landraces belong to nine botanical families and 34 species, with the highest number for Solanaceae, Cucurbitaceae, Brassicaceae, Liliaceae and Leguminosae. The diversity status of the landraces was evaluated by adopting a landscape scale approach considering the provincial landscape types (LT) (3) and, within each LT, the landscape units (LU) accounting for the incidence of high-productive and marginal agricultural systems and of natural/seminatural systems. Principal component analysis clearly separated one landscape unit for each LT for their higher abundance of landraces and higher diversity, richness and evenness of species. These LUs are characterized by high-ecological and agricultural marginal land where the low fertility of soil seems conducive to landraces maintenance. Additionally, the preservation of vegetable diversity may be linked to the distance of the surveyed sites from the most important urban centres along with the commitment of local people and/or tourists to traditional products and their related cultural aspects.","author":[{"dropping-particle":"","family":"Conversa","given":"Giulia","non-dropping-particle":"","parse-names":false,"suffix":""},{"dropping-particle":"","family":"Lazzizera","given":"Corrado","non-dropping-particle":"","parse-names":false,"suffix":""},{"dropping-particle":"","family":"Bonasia","given":"Anna","non-dropping-particle":"","parse-names":false,"suffix":""},{"dropping-particle":"","family":"Cifarelli","given":"Salvatore","non-dropping-particle":"","parse-names":false,"suffix":""},{"dropping-particle":"","family":"Losavio","given":"Francesco","non-dropping-particle":"","parse-names":false,"suffix":""},{"dropping-particle":"","family":"Sonnante","given":"Gabriella","non-dropping-particle":"","parse-names":false,"suffix":""},{"dropping-particle":"","family":"Elia","given":"Antonio","non-dropping-particle":"","parse-names":false,"suffix":""}],"container-title":"Biodiversity and Conservation","id":"ITEM-4","issue":"3","issued":{"date-parts":[["2020"]]},"page":"747-770","publisher":"Springer Netherlands","title":"Exploring on-farm agro-biodiversity: a study case of vegetable landraces from Puglia region (Italy)","type":"article-journal","volume":"29"},"uris":["http://www.mendeley.com/documents/?uuid=e0678496-9065-45a9-acea-e059874d2949"]},{"id":"ITEM-5","itemData":{"DOI":"10.3390/agriculture8070105","ISSN":"20770472","abstract":"This study attempts, above all, to provide a summary, on a strictly scientific basis, about the strategies of conservation of autochthonous agrobiodiversity followed in Italy. A special focus is dedicated to vegetables and, therefore, could represent a contribution to improve the national strategy for the safeguarding of its agrobiodiversity in general. The paper offers also an outlook on the most critical factors of ex situ conservation and actions which need to be taken. Some examples of ‘novel’ recovered neglected crops are also given. Finally a case study is proposed on ‘Mugnolicchio’, a neglected race of Brassica oleracea L., cultivated in Altamura (Ba) in southern Italy, that might be considered as an early step in the evolution of broccoli (B. oleracea L. var. italica Plenck) like ‘Mugnoli’ another neglected race described from Salento (Apulia).","author":[{"dropping-particle":"","family":"Hammer","given":"Karl","non-dropping-particle":"","parse-names":false,"suffix":""},{"dropping-particle":"","family":"Montesano","given":"Vincenzo","non-dropping-particle":"","parse-names":false,"suffix":""},{"dropping-particle":"","family":"Direnzo","given":"Paolo","non-dropping-particle":"","parse-names":false,"suffix":""},{"dropping-particle":"","family":"Laghetti","given":"Gaetano","non-dropping-particle":"","parse-names":false,"suffix":""}],"container-title":"Agriculture (Switzerland)","id":"ITEM-5","issue":"7","issued":{"date-parts":[["2018"]]},"title":"Conservation of crop genetic resources in Italy with a focus on vegetables and a case study of a neglected race of brassica oleracea","type":"article-journal","volume":"8"},"uris":["http://www.mendeley.com/documents/?uuid=f817dbae-8995-465d-831b-60ba6305cdac"]}],"mendeley":{"formattedCitation":"(BELLETTI &lt;i&gt;et al.&lt;/i&gt;, 2015; BÉRARD; MARCHENAY, 2006; BIASI &lt;i&gt;et al.&lt;/i&gt;, 2015; CONVERSA &lt;i&gt;et al.&lt;/i&gt;, 2020; HAMMER &lt;i&gt;et al.&lt;/i&gt;, 2018)","plainTextFormattedCitation":"(BELLETTI et al., 2015; BÉRARD; MARCHENAY, 2006; BIASI et al., 2015; CONVERSA et al., 2020; HAMMER et al., 2018)","previouslyFormattedCitation":"(BELLETTI &lt;i&gt;et al.&lt;/i&gt;, 2015; BÉRARD; MARCHENAY, 2006; BIASI &lt;i&gt;et al.&lt;/i&gt;, 2015; CONVERSA &lt;i&gt;et al.&lt;/i&gt;, 2020; HAMMER &lt;i&gt;et al.&lt;/i&gt;, 2018)"},"properties":{"noteIndex":0},"schema":"https://github.com/citation-style-language/schema/raw/master/csl-citation.json"}</w:instrText>
            </w:r>
            <w:r w:rsidRPr="001C69EC">
              <w:rPr>
                <w:rFonts w:ascii="Arial" w:eastAsia="Times New Roman" w:hAnsi="Arial" w:cs="Arial"/>
                <w:noProof/>
                <w:lang w:eastAsia="pt-BR"/>
              </w:rPr>
              <w:fldChar w:fldCharType="separate"/>
            </w:r>
            <w:r w:rsidRPr="001C69EC">
              <w:rPr>
                <w:rFonts w:ascii="Arial" w:eastAsia="Times New Roman" w:hAnsi="Arial" w:cs="Arial"/>
                <w:noProof/>
                <w:lang w:eastAsia="pt-BR"/>
              </w:rPr>
              <w:t xml:space="preserve">(BELLETTI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2015; BÉRARD; MARCHENAY, 2006; BIASI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2015; CONVERSA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2020; HAMMER </w:t>
            </w:r>
            <w:r w:rsidRPr="001C69EC">
              <w:rPr>
                <w:rFonts w:ascii="Arial" w:eastAsia="Times New Roman" w:hAnsi="Arial" w:cs="Arial"/>
                <w:i/>
                <w:noProof/>
                <w:lang w:eastAsia="pt-BR"/>
              </w:rPr>
              <w:t>et al.</w:t>
            </w:r>
            <w:r w:rsidRPr="001C69EC">
              <w:rPr>
                <w:rFonts w:ascii="Arial" w:eastAsia="Times New Roman" w:hAnsi="Arial" w:cs="Arial"/>
                <w:noProof/>
                <w:lang w:eastAsia="pt-BR"/>
              </w:rPr>
              <w:t>, 2018)</w:t>
            </w:r>
            <w:r w:rsidRPr="001C69EC">
              <w:rPr>
                <w:rFonts w:ascii="Arial" w:eastAsia="Times New Roman" w:hAnsi="Arial" w:cs="Arial"/>
                <w:noProof/>
                <w:lang w:eastAsia="pt-BR"/>
              </w:rPr>
              <w:fldChar w:fldCharType="end"/>
            </w:r>
            <w:r w:rsidRPr="001C69EC">
              <w:rPr>
                <w:rFonts w:ascii="Arial" w:eastAsia="Times New Roman" w:hAnsi="Arial" w:cs="Arial"/>
                <w:lang w:eastAsia="pt-BR"/>
              </w:rPr>
              <w:t xml:space="preserve"> </w:t>
            </w:r>
          </w:p>
        </w:tc>
      </w:tr>
      <w:tr w:rsidR="001C69EC" w:rsidRPr="001C69EC" w14:paraId="3F1A26DD" w14:textId="77777777" w:rsidTr="00533B63">
        <w:trPr>
          <w:trHeight w:val="255"/>
        </w:trPr>
        <w:tc>
          <w:tcPr>
            <w:tcW w:w="4815" w:type="dxa"/>
            <w:noWrap/>
          </w:tcPr>
          <w:p w14:paraId="7DFEA5AC"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Manutenção de habitats para espécies da fauna nativa, incluindo os polinizadores e a microbiota do solo.</w:t>
            </w:r>
          </w:p>
        </w:tc>
        <w:tc>
          <w:tcPr>
            <w:tcW w:w="3969" w:type="dxa"/>
          </w:tcPr>
          <w:p w14:paraId="2D26A87A" w14:textId="51406708"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{"citationItems":[{"id":"ITEM-1","itemData":{"DOI":"10.1111/j.1468-2451.2006.00592.x","ISSN":"00208701","abstract":"The debate and negotiations in progress at the international level concerning the protection of geographical indications (GI) are of direct interest to the local agricultural products and foodstuffs called terroir products. Beyond the protection of the use of their name, which is the founding principle of this system, and the legal and economic considerations this system implies, new questions are being raised about these products concerning the diversification of farming and sustainable development. More and more, and in a favourable context, another major issue is becoming apparent: the biological and cultural diversity linked to these products. This questioning concerns the status and the future of these local resources in our societies and whether or not GIs can help maintain this diversity. Protecting local and traditional products through the GI system can contribute to conserving biodiversity at various levels: domestic animal breeds, plant varieties, microbial ecosystems, and landscapes. This is also a way of maintaining in a formal way shared knowledge and practices, since they underpin the protected resource. Taking account of these elements offers an opportunity to think about agriculture differently and leads us to propose an innovative approach to local products. Several examples taken in France will help show how links can be established between the protection of GI, cultural biodiversity, and local knowledge. © UNESCO 2006.","author":[{"dropping-particle":"","family":"Bérard","given":"Laurence","non-dropping-particle":"","parse-names":false,"suffix":""},{"dropping-particle":"","family":"Marchenay","given":"Philippe","non-dropping-particle":"","parse-names":false,"suffix":""}],"container-title":"International Social Science Journal","id":"ITEM-1","issue":"187","issued":{"date-parts":[["2006"]]},"page":"109-116","title":"Local products and geographical indications: Taking account of local knowledge and biodiversity","type":"article-journal","volume":"58"},"uris":["http://www.mendeley.com/documents/?uuid=6dda118e-fcf2-4442-b722-01979c2097cf"]},{"id":"ITEM-2","itemData":{"DOI":"10.1007/s10457-017-0181-7","ISBN":"1045701701817","ISSN":"15729680","abstract":"Most farm-based agroforestry projects focus on the integration of trees on arable or livestock enterprises. This paper focuses on the integration of understorey crops and/or livestock within high value tree systems (e.g., apple orchards, olive groves, chestnut woodlands, and walnut plantations), and describes the components, structure, ecosystem services and economic value of ten case studies of this type of agroforestry across Europe. Although their ecological and socio-economic contexts vary, the systems share some common characteristics. The primary objective of the farmer is likely to remain the value of tree products like apples, olives, oranges, or nuts, or particularly high value timber. However there can still be production, environmental or economic benefits of integrating agricultural crops such as chickpeas and barley, or grazing an understorey grass crop with livestock. Three of the systems focused on the grazing of apple orchards with sheep in the UK and France. The introduction of sheep to apple orchards can minimise the need for mowing and provide an additional source of revenue. Throughout the Mediterranean, there is a need to improve the financial viability of olive groves. The case studies illustrate the possibility of intercropping traditional olive stands with chickpea in Greece, or the intercropping of wild asparagus in high density olive groves in Italy. Another system studied in Greece involves orange trees intercropped with chickpeas. Stands of chestnut trees in North-west Spain can provide feed for pigs when the fruit falls in November, and provide an excellent habitat for the commercial production of edible mushrooms. In Spain, in the production of high quality walnut trees using rotations of up to 50–60 years, there are options to establish a legume-based mixed pasture understorey and to introduce sheep to provide financial and environmental benefits.","author":[{"dropping-particle":"","family":"Pantera","given":"A.","non-dropping-particle":"","parse-names":false,"suffix":""},{"dropping-particle":"","family":"Burgess","given":"P. J.","non-dropping-particle":"","parse-names":false,"suffix":""},{"dropping-particle":"","family":"Mosquera Losada","given":"R.","non-dropping-particle":"","parse-names":false,"suffix":""},{"dropping-particle":"","family":"Moreno","given":"G.","non-dropping-particle":"","parse-names":false,"suffix":""},{"dropping-particle":"","family":"López-Díaz","given":"M. L.","non-dropping-particle":"","parse-names":false,"suffix":""},{"dropping-particle":"","family":"Corroyer","given":"N.","non-dropping-particle":"","parse-names":false,"suffix":""},{"dropping-particle":"","family":"McAdam","given":"J.","non-dropping-particle":"","parse-names":false,"suffix":""},{"dropping-particle":"","family":"Rosati","given":"A.","non-dropping-particle":"","parse-names":false,"suffix":""},{"dropping-particle":"","family":"Papadopoulos","given":"A. M.","non-dropping-particle":"","parse-names":false,"suffix":""},{"dropping-particle":"","family":"Graves","given":"A.","non-dropping-particle":"","parse-names":false,"suffix":""},{"dropping-particle":"","family":"Rigueiro Rodríguez","given":"A.","non-dropping-particle":"","parse-names":false,"suffix":""},{"dropping-particle":"","family":"Ferreiro-Domínguez","given":"N.","non-dropping-particle":"","parse-names":false,"suffix":""},{"dropping-particle":"","family":"Fernández Lorenzo","given":"J. L.","non-dropping-particle":"","parse-names":false,"suffix":""},{"dropping-particle":"","family":"González-Hernández","given":"M. P.","non-dropping-particle":"","parse-names":false,"suffix":""},{"dropping-particle":"","family":"Papanastasis","given":"V. P.","non-dropping-particle":"","parse-names":false,"suffix":""},{"dropping-particle":"","family":"Mantzanas","given":"K.","non-dropping-particle":"","parse-names":false,"suffix":""},{"dropping-particle":"","family":"Lerberghe","given":"P.","non-dropping-particle":"Van","parse-names":false,"suffix":""},{"dropping-particle":"","family":"Malignier","given":"N.","non-dropping-particle":"","parse-names":false,"suffix":""}],"container-title":"Agroforestry Systems","id":"ITEM-2","issue":"4","issued":{"date-parts":[["2018"]]},"page":"945-959","title":"Agroforestry for high value tree systems in Europe","type":"article-journal","volume":"92"},"uris":["http://www.mendeley.com/documents/?uuid=b547f5af-dc71-4c96-b68c-e3782ec4f72a"]},{"id":"ITEM-3","itemData":{"DOI":"10.1007/s11625-017-0455-z","ISSN":"18624057","abstract":"Many Japanese and European landscapes harbor biocultural diversity that has been shaped by human agency over centuries. However, these landscapes are threatened by widespread land abandonment, land-use changes, and urbanization. The aim of this study is to use a “solution scanning” method to identify place-based food networks in Europe and Japan that reinforce linkages between biological and cultural diversity in landscapes. In our analysis of 26 European and 13 Japanese cases, we find that place-based food networks are typically located in heterogeneous landscapes, are driven by civil society (and less by markets), and act at a local scale. Regional identity is the most frequently addressed societal issue. Scenery, rural tourism, and nature conservation are more important motivations in Europe, and physical well-being and revitalization of local economies are more relevant in Japan. European models are typically associated with achieving biodiversity conservation and socio-cultural tradition outcomes, and Japanese models more with public health and nutrition outcomes. We discuss the potential for transfer of approaches from Japan to Europe (e.g., models that tackle the aging of rural societies), and from Europe to Japan (e.g., models that build explicit connections between food production and biodiversity conservation). We conclude with a list of recommended policy measures, e.g., the creation of a flexible legal framework that protects the interests of and reduces political constraints for collaborative efforts to biocultural diversity in landscapes.","author":[{"dropping-particle":"","family":"Plieninger","given":"Tobias","non-dropping-particle":"","parse-names":false,"suffix":""},{"dropping-particle":"","family":"Kohsaka","given":"Ryo","non-dropping-particle":"","parse-names":false,"suffix":""},{"dropping-particle":"","family":"Bieling","given":"Claudia","non-dropping-particle":"","parse-names":false,"suffix":""},{"dropping-particle":"","family":"Hashimoto","given":"Shizuka","non-dropping-particle":"","parse-names":false,"suffix":""},{"dropping-particle":"","family":"Kamiyama","given":"Chiho","non-dropping-particle":"","parse-names":false,"suffix":""},{"dropping-particle":"","family":"Kizos","given":"Thanasis","non-dropping-particle":"","parse-names":false,"suffix":""},{"dropping-particle":"","family":"Penker","given":"Marianne","non-dropping-particle":"","parse-names":false,"suffix":""},{"dropping-particle":"","family":"Kieninger","given":"Pia","non-dropping-particle":"","parse-names":false,"suffix":""},{"dropping-particle":"","family":"Shaw","given":"Brian J.","non-dropping-particle":"","parse-names":false,"suffix":""},{"dropping-particle":"","family":"Sioen","given":"Giles Bruno","non-dropping-particle":"","parse-names":false,"suffix":""},{"dropping-particle":"","family":"Yoshida","given":"Yuki","non-dropping-particle":"","parse-names":false,"suffix":""},{"dropping-particle":"","family":"Saito","given":"Osamu","non-dropping-particle":"","parse-names":false,"suffix":""}],"container-title":"Sustainability Science","id":"ITEM-3","issue":"1","issued":{"date-parts":[["2018"]]},"page":"219-233","publisher":"Springer Japan","title":"Fostering biocultural diversity in landscapes through place-based food networks: a “solution scan” of European and Japanese models","type":"article-journal","volume":"13"},"uris":["http://www.mendeley.com/documents/?uuid=5802e367-08b1-4f9a-a14b-5a9d358709eb"]},{"id":"ITEM-4","itemData":{"DOI":"10.1016/j.jrurstud.2019.03.014","ISSN":"07430167","abstract":"A Geographical Indication (GI) is expected to facilitate agri-environmental management in agricultural landscapes. Currently, local products from small-scale farms and national branded products with a relatively large scale of production are being registered using GI schemes. Considering the relationships among GI products, their agricultural landscapes, and traditional ecological knowledge (TEK), as a GI case study, we examined small GI farms in Odate City, Akita Prefecture, Japan, which produce edible plants called Tonburi. This research explored the complex cause-effect relationship between TEK and landscapes and found that the TEK of Tonburi production influenced biological diversity and vice versa. The TEK and skills of small farmers were confined to the family members of each farmer and were not shared at the community level until GI registration. However, the farmers shared their TEK of sustainable agricultural landscape management through the process of GI registration. Through negotiation between local agricultural cooperatives and farmers, TEK was provided as a form of cultural capital and shared with new producers after GI registration. We concluded that enclosed TEK negatively affects production maintenance and landscape management in the long term. However, the GI registration process contributes to the sharing of TEK as a form of cultural capital among Tonburi farmers.","author":[{"dropping-particle":"","family":"Tashiro","given":"Ai","non-dropping-particle":"","parse-names":false,"suffix":""},{"dropping-particle":"","family":"Uchiyama","given":"Yuta","non-dropping-particle":"","parse-names":false,"suffix":""},{"dropping-particle":"","family":"Kohsaka","given":"Ryo","non-dropping-particle":"","parse-names":false,"suffix":""}],"container-title":"Journal of Rural Studies","id":"ITEM-4","issue":"June 2018","issued":{"date-parts":[["2019"]]},"page":"46-53","publisher":"Elsevier","title":"Impact of Geographical Indication schemes on traditional knowledge in changing agricultural landscapes: An empirical analysis from Japan","type":"article-journal","volume":"68"},"uris":["http://www.mendeley.com/documents/?uuid=c6d20004-6752-4e29-83a2-66e7bfcfa393"]}],"mendeley":{"formattedCitation":"(BÉRARD; MARCHENAY, 2006; PANTERA &lt;i&gt;et al.&lt;/i&gt;, 2018; PLIENINGER &lt;i&gt;et al.&lt;/i&gt;, 2018; TASHIRO; UCHIYAMA; KOHSAKA, 2019)","plainTextFormattedCitation":"(BÉRARD; MARCHENAY, 2006; PANTERA et al., 2018; PLIENINGER et al., 2018; TASHIRO; UCHIYAMA; KOHSAKA, 2019)","previouslyFormattedCitation":"(BÉRARD; MARCHENAY, 2006; PANTERA &lt;i&gt;et al.&lt;/i&gt;, 2018; PLIENINGER &lt;i&gt;et al.&lt;/i&gt;, 2018; TASHIRO; UCHIYAMA; KOHSAKA, 2019)"},"properties":{"noteIndex":0},"schema":"https://github.com/citation-style-language/schema/raw/master/csl-citation.json"}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(BÉRARD; MARCHENAY, 2006; PANTERA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2018; PLIENINGER </w:t>
            </w:r>
            <w:r w:rsidRPr="001C69EC">
              <w:rPr>
                <w:rFonts w:ascii="Arial" w:eastAsia="Times New Roman" w:hAnsi="Arial" w:cs="Arial"/>
                <w:i/>
                <w:noProof/>
                <w:lang w:eastAsia="pt-BR"/>
              </w:rPr>
              <w:t>et al.</w:t>
            </w:r>
            <w:r w:rsidRPr="001C69EC">
              <w:rPr>
                <w:rFonts w:ascii="Arial" w:eastAsia="Times New Roman" w:hAnsi="Arial" w:cs="Arial"/>
                <w:noProof/>
                <w:lang w:eastAsia="pt-BR"/>
              </w:rPr>
              <w:t>, 2018; TASHIRO; UCHIYAMA; KOHSAKA, 2019)</w:t>
            </w:r>
            <w:r w:rsidRPr="001C69EC">
              <w:rPr>
                <w:rFonts w:ascii="Arial" w:eastAsia="Times New Roman" w:hAnsi="Arial" w:cs="Arial"/>
                <w:lang w:eastAsia="pt-BR"/>
              </w:rPr>
              <w:fldChar w:fldCharType="end"/>
            </w:r>
            <w:r w:rsidRPr="001C69EC">
              <w:rPr>
                <w:rFonts w:ascii="Arial" w:eastAsia="Times New Roman" w:hAnsi="Arial" w:cs="Arial"/>
                <w:lang w:eastAsia="pt-BR"/>
              </w:rPr>
              <w:t xml:space="preserve"> </w:t>
            </w:r>
          </w:p>
        </w:tc>
      </w:tr>
      <w:tr w:rsidR="001C69EC" w:rsidRPr="001C69EC" w14:paraId="1D4D4D7B" w14:textId="77777777" w:rsidTr="00533B63">
        <w:trPr>
          <w:trHeight w:val="255"/>
        </w:trPr>
        <w:tc>
          <w:tcPr>
            <w:tcW w:w="4815" w:type="dxa"/>
            <w:noWrap/>
          </w:tcPr>
          <w:p w14:paraId="6951BE41"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Manejo adequado do solo, com controle de erosão.</w:t>
            </w:r>
          </w:p>
        </w:tc>
        <w:tc>
          <w:tcPr>
            <w:tcW w:w="3969" w:type="dxa"/>
          </w:tcPr>
          <w:p w14:paraId="7FFCB8DF" w14:textId="75C3008F"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{"citationItems":[{"id":"ITEM-1","itemData":{"ISSN":"0264-8377","abstract":"&lt;p&gt;•Environmental rules of 107 EU olive-oil geographical indications (GI) are analyzed.•Environmental concerns are not very explicitly considered in Product Specifications.•There appears to exist a ‘greening’ of Product Specifications over time.•Protected GIs play environmentally positive roles, albeit indirectly in many cases.•Public policies can strengthen the environmental role of Protected GIs.&lt;/p&gt; &lt;p&gt;The link between food and the environment constitutes a core issue from the consumer’s point of view and in the political debate. Geographical indication products, due to their association with specific territories and links to specific local resources, can improve economic, social and environmental sustainability.&lt;/p&gt; &lt;p&gt;The present paper investigates the relationship between the legal protection of geographical indications and the environment, analyzing the Product Specifications of the 107 olive-oil geographical indications registered in the European Union....","author":[{"dropping-particle":"","family":"Belletti","given":"Giovanni","non-dropping-particle":"","parse-names":false,"suffix":""},{"dropping-particle":"","family":"Marescotti","given":"Andrea","non-dropping-particle":"","parse-names":false,"suffix":""},{"dropping-particle":"","family":"Sanz-Cañada","given":"Javier","non-dropping-particle":"","parse-names":false,"suffix":""},{"dropping-particle":"","family":"Vakoufaris","given":"Hristos","non-dropping-particle":"","parse-names":false,"suffix":""}],"container-title":"Land Use Policy","id":"ITEM-1","issued":{"date-parts":[["2015"]]},"page":"94-106","publisher":"Elsevier Ltd","title":"Linking protection of geographical indications to the environment: Evidence from the European Union olive-oil sector","type":"article-journal","volume":"48"},"uris":["http://www.mendeley.com/documents/?uuid=9f083e84-a627-4b3e-b020-4d731d0bebf2"]},{"id":"ITEM-2","itemData":{"DOI":"10.1007/s10457-017-0181-7","ISBN":"1045701701817","ISSN":"15729680","abstract":"Most farm-based agroforestry projects focus on the integration of trees on arable or livestock enterprises. This paper focuses on the integration of understorey crops and/or livestock within high value tree systems (e.g., apple orchards, olive groves, chestnut woodlands, and walnut plantations), and describes the components, structure, ecosystem services and economic value of ten case studies of this type of agroforestry across Europe. Although their ecological and socio-economic contexts vary, the systems share some common characteristics. The primary objective of the farmer is likely to remain the value of tree products like apples, olives, oranges, or nuts, or particularly high value timber. However there can still be production, environmental or economic benefits of integrating agricultural crops such as chickpeas and barley, or grazing an understorey grass crop with livestock. Three of the systems focused on the grazing of apple orchards with sheep in the UK and France. The introduction of sheep to apple orchards can minimise the need for mowing and provide an additional source of revenue. Throughout the Mediterranean, there is a need to improve the financial viability of olive groves. The case studies illustrate the possibility of intercropping traditional olive stands with chickpea in Greece, or the intercropping of wild asparagus in high density olive groves in Italy. Another system studied in Greece involves orange trees intercropped with chickpeas. Stands of chestnut trees in North-west Spain can provide feed for pigs when the fruit falls in November, and provide an excellent habitat for the commercial production of edible mushrooms. In Spain, in the production of high quality walnut trees using rotations of up to 50–60 years, there are options to establish a legume-based mixed pasture understorey and to introduce sheep to provide financial and environmental benefits.","author":[{"dropping-particle":"","family":"Pantera","given":"A.","non-dropping-particle":"","parse-names":false,"suffix":""},{"dropping-particle":"","family":"Burgess","given":"P. J.","non-dropping-particle":"","parse-names":false,"suffix":""},{"dropping-particle":"","family":"Mosquera Losada","given":"R.","non-dropping-particle":"","parse-names":false,"suffix":""},{"dropping-particle":"","family":"Moreno","given":"G.","non-dropping-particle":"","parse-names":false,"suffix":""},{"dropping-particle":"","family":"López-Díaz","given":"M. L.","non-dropping-particle":"","parse-names":false,"suffix":""},{"dropping-particle":"","family":"Corroyer","given":"N.","non-dropping-particle":"","parse-names":false,"suffix":""},{"dropping-particle":"","family":"McAdam","given":"J.","non-dropping-particle":"","parse-names":false,"suffix":""},{"dropping-particle":"","family":"Rosati","given":"A.","non-dropping-particle":"","parse-names":false,"suffix":""},{"dropping-particle":"","family":"Papadopoulos","given":"A. M.","non-dropping-particle":"","parse-names":false,"suffix":""},{"dropping-particle":"","family":"Graves","given":"A.","non-dropping-particle":"","parse-names":false,"suffix":""},{"dropping-particle":"","family":"Rigueiro Rodríguez","given":"A.","non-dropping-particle":"","parse-names":false,"suffix":""},{"dropping-particle":"","family":"Ferreiro-Domínguez","given":"N.","non-dropping-particle":"","parse-names":false,"suffix":""},{"dropping-particle":"","family":"Fernández Lorenzo","given":"J. L.","non-dropping-particle":"","parse-names":false,"suffix":""},{"dropping-particle":"","family":"González-Hernández","given":"M. P.","non-dropping-particle":"","parse-names":false,"suffix":""},{"dropping-particle":"","family":"Papanastasis","given":"V. P.","non-dropping-particle":"","parse-names":false,"suffix":""},{"dropping-particle":"","family":"Mantzanas","given":"K.","non-dropping-particle":"","parse-names":false,"suffix":""},{"dropping-particle":"","family":"Lerberghe","given":"P.","non-dropping-particle":"Van","parse-names":false,"suffix":""},{"dropping-particle":"","family":"Malignier","given":"N.","non-dropping-particle":"","parse-names":false,"suffix":""}],"container-title":"Agroforestry Systems","id":"ITEM-2","issue":"4","issued":{"date-parts":[["2018"]]},"page":"945-959","title":"Agroforestry for high value tree systems in Europe","type":"article-journal","volume":"92"},"uris":["http://www.mendeley.com/documents/?uuid=b547f5af-dc71-4c96-b68c-e3782ec4f72a"]},{"id":"ITEM-3","itemData":{"DOI":"10.1016/j.jrurstud.2019.03.014","ISSN":"07430167","abstract":"A Geographical Indication (GI) is expected to facilitate agri-environmental management in agricultural landscapes. Currently, local products from small-scale farms and national branded products with a relatively large scale of production are being registered using GI schemes. Considering the relationships among GI products, their agricultural landscapes, and traditional ecological knowledge (TEK), as a GI case study, we examined small GI farms in Odate City, Akita Prefecture, Japan, which produce edible plants called Tonburi. This research explored the complex cause-effect relationship between TEK and landscapes and found that the TEK of Tonburi production influenced biological diversity and vice versa. The TEK and skills of small farmers were confined to the family members of each farmer and were not shared at the community level until GI registration. However, the farmers shared their TEK of sustainable agricultural landscape management through the process of GI registration. Through negotiation between local agricultural cooperatives and farmers, TEK was provided as a form of cultural capital and shared with new producers after GI registration. We concluded that enclosed TEK negatively affects production maintenance and landscape management in the long term. However, the GI registration process contributes to the sharing of TEK as a form of cultural capital among Tonburi farmers.","author":[{"dropping-particle":"","family":"Tashiro","given":"Ai","non-dropping-particle":"","parse-names":false,"suffix":""},{"dropping-particle":"","family":"Uchiyama","given":"Yuta","non-dropping-particle":"","parse-names":false,"suffix":""},{"dropping-particle":"","family":"Kohsaka","given":"Ryo","non-dropping-particle":"","parse-names":false,"suffix":""}],"container-title":"Journal of Rural Studies","id":"ITEM-3","issue":"June 2018","issued":{"date-parts":[["2019"]]},"page":"46-53","publisher":"Elsevier","title":"Impact of Geographical Indication schemes on traditional knowledge in changing agricultural landscapes: An empirical analysis from Japan","type":"article-journal","volume":"68"},"uris":["http://www.mendeley.com/documents/?uuid=c6d20004-6752-4e29-83a2-66e7bfcfa393"]}],"mendeley":{"formattedCitation":"(BELLETTI &lt;i&gt;et al.&lt;/i&gt;, 2015; PANTERA &lt;i&gt;et al.&lt;/i&gt;, 2018; TASHIRO; UCHIYAMA; KOHSAKA, 2019)","plainTextFormattedCitation":"(BELLETTI et al., 2015; PANTERA et al., 2018; TASHIRO; UCHIYAMA; KOHSAKA, 2019)","previouslyFormattedCitation":"(BELLETTI &lt;i&gt;et al.&lt;/i&gt;, 2015; PANTERA &lt;i&gt;et al.&lt;/i&gt;, 2018; TASHIRO; UCHIYAMA; KOHSAKA, 2019)"},"properties":{"noteIndex":0},"schema":"https://github.com/citation-style-language/schema/raw/master/csl-citation.json"}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(BELLETTI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2015; PANTERA </w:t>
            </w:r>
            <w:r w:rsidRPr="001C69EC">
              <w:rPr>
                <w:rFonts w:ascii="Arial" w:eastAsia="Times New Roman" w:hAnsi="Arial" w:cs="Arial"/>
                <w:i/>
                <w:noProof/>
                <w:lang w:eastAsia="pt-BR"/>
              </w:rPr>
              <w:t>et al.</w:t>
            </w:r>
            <w:r w:rsidRPr="001C69EC">
              <w:rPr>
                <w:rFonts w:ascii="Arial" w:eastAsia="Times New Roman" w:hAnsi="Arial" w:cs="Arial"/>
                <w:noProof/>
                <w:lang w:eastAsia="pt-BR"/>
              </w:rPr>
              <w:t>, 2018; TASHIRO; UCHIYAMA; KOHSAKA, 2019)</w:t>
            </w:r>
            <w:r w:rsidRPr="001C69EC">
              <w:rPr>
                <w:rFonts w:ascii="Arial" w:eastAsia="Times New Roman" w:hAnsi="Arial" w:cs="Arial"/>
                <w:lang w:eastAsia="pt-BR"/>
              </w:rPr>
              <w:fldChar w:fldCharType="end"/>
            </w:r>
          </w:p>
        </w:tc>
      </w:tr>
      <w:tr w:rsidR="001C69EC" w:rsidRPr="001C69EC" w14:paraId="035E6F75" w14:textId="77777777" w:rsidTr="00533B63">
        <w:trPr>
          <w:trHeight w:val="255"/>
        </w:trPr>
        <w:tc>
          <w:tcPr>
            <w:tcW w:w="4815" w:type="dxa"/>
            <w:noWrap/>
          </w:tcPr>
          <w:p w14:paraId="39A234EF"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Melhor controle do uso da água para irrigação e conservação dos recursos hídricos.</w:t>
            </w:r>
          </w:p>
        </w:tc>
        <w:tc>
          <w:tcPr>
            <w:tcW w:w="3969" w:type="dxa"/>
          </w:tcPr>
          <w:p w14:paraId="1ED59915" w14:textId="425B367B"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{"citationItems":[{"id":"ITEM-1","itemData":{"ISSN":"0264-8377","abstract":"&lt;p&gt;•Environmental rules of 107 EU olive-oil geographical indications (GI) are analyzed.•Environmental concerns are not very explicitly considered in Product Specifications.•There appears to exist a ‘greening’ of Product Specifications over time.•Protected GIs play environmentally positive roles, albeit indirectly in many cases.•Public policies can strengthen the environmental role of Protected GIs.&lt;/p&gt; &lt;p&gt;The link between food and the environment constitutes a core issue from the consumer’s point of view and in the political debate. Geographical indication products, due to their association with specific territories and links to specific local resources, can improve economic, social and environmental sustainability.&lt;/p&gt; &lt;p&gt;The present paper investigates the relationship between the legal protection of geographical indications and the environment, analyzing the Product Specifications of the 107 olive-oil geographical indications registered in the European Union....","author":[{"dropping-particle":"","family":"Belletti","given":"Giovanni","non-dropping-particle":"","parse-names":false,"suffix":""},{"dropping-particle":"","family":"Marescotti","given":"Andrea","non-dropping-particle":"","parse-names":false,"suffix":""},{"dropping-particle":"","family":"Sanz-Cañada","given":"Javier","non-dropping-particle":"","parse-names":false,"suffix":""},{"dropping-particle":"","family":"Vakoufaris","given":"Hristos","non-dropping-particle":"","parse-names":false,"suffix":""}],"container-title":"Land Use Policy","id":"ITEM-1","issued":{"date-parts":[["2015"]]},"page":"94-106","publisher":"Elsevier Ltd","title":"Linking protection of geographical indications to the environment: Evidence from the European Union olive-oil sector","type":"article-journal","volume":"48"},"uris":["http://www.mendeley.com/documents/?uuid=9f083e84-a627-4b3e-b020-4d731d0bebf2"]},{"id":"ITEM-2","itemData":{"DOI":"10.1007/s10457-017-0181-7","ISBN":"1045701701817","ISSN":"15729680","abstract":"Most farm-based agroforestry projects focus on the integration of trees on arable or livestock enterprises. This paper focuses on the integration of understorey crops and/or livestock within high value tree systems (e.g., apple orchards, olive groves, chestnut woodlands, and walnut plantations), and describes the components, structure, ecosystem services and economic value of ten case studies of this type of agroforestry across Europe. Although their ecological and socio-economic contexts vary, the systems share some common characteristics. The primary objective of the farmer is likely to remain the value of tree products like apples, olives, oranges, or nuts, or particularly high value timber. However there can still be production, environmental or economic benefits of integrating agricultural crops such as chickpeas and barley, or grazing an understorey grass crop with livestock. Three of the systems focused on the grazing of apple orchards with sheep in the UK and France. The introduction of sheep to apple orchards can minimise the need for mowing and provide an additional source of revenue. Throughout the Mediterranean, there is a need to improve the financial viability of olive groves. The case studies illustrate the possibility of intercropping traditional olive stands with chickpea in Greece, or the intercropping of wild asparagus in high density olive groves in Italy. Another system studied in Greece involves orange trees intercropped with chickpeas. Stands of chestnut trees in North-west Spain can provide feed for pigs when the fruit falls in November, and provide an excellent habitat for the commercial production of edible mushrooms. In Spain, in the production of high quality walnut trees using rotations of up to 50–60 years, there are options to establish a legume-based mixed pasture understorey and to introduce sheep to provide financial and environmental benefits.","author":[{"dropping-particle":"","family":"Pantera","given":"A.","non-dropping-particle":"","parse-names":false,"suffix":""},{"dropping-particle":"","family":"Burgess","given":"P. J.","non-dropping-particle":"","parse-names":false,"suffix":""},{"dropping-particle":"","family":"Mosquera Losada","given":"R.","non-dropping-particle":"","parse-names":false,"suffix":""},{"dropping-particle":"","family":"Moreno","given":"G.","non-dropping-particle":"","parse-names":false,"suffix":""},{"dropping-particle":"","family":"López-Díaz","given":"M. L.","non-dropping-particle":"","parse-names":false,"suffix":""},{"dropping-particle":"","family":"Corroyer","given":"N.","non-dropping-particle":"","parse-names":false,"suffix":""},{"dropping-particle":"","family":"McAdam","given":"J.","non-dropping-particle":"","parse-names":false,"suffix":""},{"dropping-particle":"","family":"Rosati","given":"A.","non-dropping-particle":"","parse-names":false,"suffix":""},{"dropping-particle":"","family":"Papadopoulos","given":"A. M.","non-dropping-particle":"","parse-names":false,"suffix":""},{"dropping-particle":"","family":"Graves","given":"A.","non-dropping-particle":"","parse-names":false,"suffix":""},{"dropping-particle":"","family":"Rigueiro Rodríguez","given":"A.","non-dropping-particle":"","parse-names":false,"suffix":""},{"dropping-particle":"","family":"Ferreiro-Domínguez","given":"N.","non-dropping-particle":"","parse-names":false,"suffix":""},{"dropping-particle":"","family":"Fernández Lorenzo","given":"J. L.","non-dropping-particle":"","parse-names":false,"suffix":""},{"dropping-particle":"","family":"González-Hernández","given":"M. P.","non-dropping-particle":"","parse-names":false,"suffix":""},{"dropping-particle":"","family":"Papanastasis","given":"V. P.","non-dropping-particle":"","parse-names":false,"suffix":""},{"dropping-particle":"","family":"Mantzanas","given":"K.","non-dropping-particle":"","parse-names":false,"suffix":""},{"dropping-particle":"","family":"Lerberghe","given":"P.","non-dropping-particle":"Van","parse-names":false,"suffix":""},{"dropping-particle":"","family":"Malignier","given":"N.","non-dropping-particle":"","parse-names":false,"suffix":""}],"container-title":"Agroforestry Systems","id":"ITEM-2","issue":"4","issued":{"date-parts":[["2018"]]},"page":"945-959","title":"Agroforestry for high value tree systems in Europe","type":"article-journal","volume":"92"},"uris":["http://www.mendeley.com/documents/?uuid=b547f5af-dc71-4c96-b68c-e3782ec4f72a"]}],"mendeley":{"formattedCitation":"(BELLETTI &lt;i&gt;et al.&lt;/i&gt;, 2015; PANTERA &lt;i&gt;et al.&lt;/i&gt;, 2018)","plainTextFormattedCitation":"(BELLETTI et al., 2015; PANTERA et al., 2018)","previouslyFormattedCitation":"(BELLETTI &lt;i&gt;et al.&lt;/i&gt;, 2015; PANTERA &lt;i&gt;et al.&lt;/i&gt;, 2018)"},"properties":{"noteIndex":0},"schema":"https://github.com/citation-style-language/schema/raw/master/csl-citation.json"}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(BELLETTI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2015; PANTERA </w:t>
            </w:r>
            <w:r w:rsidRPr="001C69EC">
              <w:rPr>
                <w:rFonts w:ascii="Arial" w:eastAsia="Times New Roman" w:hAnsi="Arial" w:cs="Arial"/>
                <w:i/>
                <w:noProof/>
                <w:lang w:eastAsia="pt-BR"/>
              </w:rPr>
              <w:t>et al.</w:t>
            </w:r>
            <w:r w:rsidRPr="001C69EC">
              <w:rPr>
                <w:rFonts w:ascii="Arial" w:eastAsia="Times New Roman" w:hAnsi="Arial" w:cs="Arial"/>
                <w:noProof/>
                <w:lang w:eastAsia="pt-BR"/>
              </w:rPr>
              <w:t>, 2018)</w:t>
            </w:r>
            <w:r w:rsidRPr="001C69EC">
              <w:rPr>
                <w:rFonts w:ascii="Arial" w:eastAsia="Times New Roman" w:hAnsi="Arial" w:cs="Arial"/>
                <w:lang w:eastAsia="pt-BR"/>
              </w:rPr>
              <w:fldChar w:fldCharType="end"/>
            </w:r>
            <w:r w:rsidRPr="001C69EC">
              <w:rPr>
                <w:rFonts w:ascii="Arial" w:eastAsia="Times New Roman" w:hAnsi="Arial" w:cs="Arial"/>
                <w:lang w:eastAsia="pt-BR"/>
              </w:rPr>
              <w:t xml:space="preserve"> </w:t>
            </w:r>
          </w:p>
        </w:tc>
      </w:tr>
      <w:tr w:rsidR="001C69EC" w:rsidRPr="001C69EC" w14:paraId="6CA91DC6" w14:textId="77777777" w:rsidTr="00533B63">
        <w:trPr>
          <w:trHeight w:val="255"/>
        </w:trPr>
        <w:tc>
          <w:tcPr>
            <w:tcW w:w="4815" w:type="dxa"/>
            <w:noWrap/>
          </w:tcPr>
          <w:p w14:paraId="58E69127"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Técnicas produtivas mais adaptáveis às mudanças ambientais (por meio da organização social promovida pela IG).</w:t>
            </w:r>
          </w:p>
        </w:tc>
        <w:tc>
          <w:tcPr>
            <w:tcW w:w="3969" w:type="dxa"/>
          </w:tcPr>
          <w:p w14:paraId="205B611B" w14:textId="461739CF"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{"citationItems":[{"id":"ITEM-1","itemData":{"DOI":"10.13128/Aestimum-23970","ISSN":"17242118","abstract":"Apulia is the fifth Italian region in terms of irrigated area and irrigation water used in agriculture. However, inefficiencies in the management of the regional irrigation consortia force most of farmers to use groundwater by private wells, with negative consequences on soil and crop characteristics, and with grave desertification risk. In the first instance, through a choice experiment survey, the study investigated the aptitude of the regional farmers toward the abandonment of their farm wells in exchange for an improved consortium irrigation network and additional services. Then, through a stochastic profit frontier, the impact of these choices was assessed on the economic performance of farms, providing useful information for suitable and fair groundwater preservation policies.","author":[{"dropping-particle":"","family":"Sardaro","given":"Ruggiero","non-dropping-particle":"","parse-names":false,"suffix":""},{"dropping-particle":"","family":"Bozzo","given":"Francesco","non-dropping-particle":"","parse-names":false,"suffix":""},{"dropping-particle":"","family":"Fucilli","given":"Vincenzo","non-dropping-particle":"","parse-names":false,"suffix":""}],"container-title":"Aestimum","id":"ITEM-1","issued":{"date-parts":[["2018"]]},"page":"81-107","title":"The choice experiment and the stochastic profit frontier: A methodological approach for groundwater preservation policies","type":"article-journal","volume":"72"},"uris":["http://www.mendeley.com/documents/?uuid=6767fcf1-bf80-49cc-9b62-d68456d62e6a"]},{"id":"ITEM-2","itemData":{"DOI":"10.1016/j.jrurstud.2019.03.014","ISSN":"07430167","abstract":"A Geographical Indication (GI) is expected to facilitate agri-environmental management in agricultural landscapes. Currently, local products from small-scale farms and national branded products with a relatively large scale of production are being registered using GI schemes. Considering the relationships among GI products, their agricultural landscapes, and traditional ecological knowledge (TEK), as a GI case study, we examined small GI farms in Odate City, Akita Prefecture, Japan, which produce edible plants called Tonburi. This research explored the complex cause-effect relationship between TEK and landscapes and found that the TEK of Tonburi production influenced biological diversity and vice versa. The TEK and skills of small farmers were confined to the family members of each farmer and were not shared at the community level until GI registration. However, the farmers shared their TEK of sustainable agricultural landscape management through the process of GI registration. Through negotiation between local agricultural cooperatives and farmers, TEK was provided as a form of cultural capital and shared with new producers after GI registration. We concluded that enclosed TEK negatively affects production maintenance and landscape management in the long term. However, the GI registration process contributes to the sharing of TEK as a form of cultural capital among Tonburi farmers.","author":[{"dropping-particle":"","family":"Tashiro","given":"Ai","non-dropping-particle":"","parse-names":false,"suffix":""},{"dropping-particle":"","family":"Uchiyama","given":"Yuta","non-dropping-particle":"","parse-names":false,"suffix":""},{"dropping-particle":"","family":"Kohsaka","given":"Ryo","non-dropping-particle":"","parse-names":false,"suffix":""}],"container-title":"Journal of Rural Studies","id":"ITEM-2","issue":"June 2018","issued":{"date-parts":[["2019"]]},"page":"46-53","publisher":"Elsevier","title":"Impact of Geographical Indication schemes on traditional knowledge in changing agricultural landscapes: An empirical analysis from Japan","type":"article-journal","volume":"68"},"uris":["http://www.mendeley.com/documents/?uuid=c6d20004-6752-4e29-83a2-66e7bfcfa393"]}],"mendeley":{"formattedCitation":"(SARDARO; BOZZO; FUCILLI, 2018; TASHIRO; UCHIYAMA; KOHSAKA, 2019)","plainTextFormattedCitation":"(SARDARO; BOZZO; FUCILLI, 2018; TASHIRO; UCHIYAMA; KOHSAKA, 2019)","previouslyFormattedCitation":"(SARDARO; BOZZO; FUCILLI, 2018; TASHIRO; UCHIYAMA; KOHSAKA, 2019)"},"properties":{"noteIndex":0},"schema":"https://github.com/citation-style-language/schema/raw/master/csl-citation.json"}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(SARDARO; BOZZO; FUCILLI, 2018; TASHIRO; UCHIYAMA; KOHSAKA, 2019)</w:t>
            </w:r>
            <w:r w:rsidRPr="001C69EC">
              <w:rPr>
                <w:rFonts w:ascii="Arial" w:eastAsia="Times New Roman" w:hAnsi="Arial" w:cs="Arial"/>
                <w:lang w:eastAsia="pt-BR"/>
              </w:rPr>
              <w:fldChar w:fldCharType="end"/>
            </w:r>
            <w:r w:rsidRPr="001C69EC">
              <w:rPr>
                <w:rFonts w:ascii="Arial" w:eastAsia="Times New Roman" w:hAnsi="Arial" w:cs="Arial"/>
                <w:lang w:eastAsia="pt-BR"/>
              </w:rPr>
              <w:t xml:space="preserve"> </w:t>
            </w:r>
          </w:p>
        </w:tc>
      </w:tr>
      <w:tr w:rsidR="001C69EC" w:rsidRPr="001C69EC" w14:paraId="19011B89" w14:textId="77777777" w:rsidTr="00533B63">
        <w:trPr>
          <w:trHeight w:val="255"/>
        </w:trPr>
        <w:tc>
          <w:tcPr>
            <w:tcW w:w="4815" w:type="dxa"/>
            <w:noWrap/>
          </w:tcPr>
          <w:p w14:paraId="2EE83462"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Aumento da consciência ambiental, especialmente de agricultores, mas também de todos os envolvidos no sistema produtivo.</w:t>
            </w:r>
          </w:p>
        </w:tc>
        <w:tc>
          <w:tcPr>
            <w:tcW w:w="3969" w:type="dxa"/>
          </w:tcPr>
          <w:p w14:paraId="1D2E6C65" w14:textId="49C48CC2"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{"citationItems":[{"id":"ITEM-1","itemData":{"ISSN":"0264-8377","abstract":"&lt;p&gt;•Environmental rules of 107 EU olive-oil geographical indications (GI) are analyzed.•Environmental concerns are not very explicitly considered in Product Specifications.•There appears to exist a ‘greening’ of Product Specifications over time.•Protected GIs play environmentally positive roles, albeit indirectly in many cases.•Public policies can strengthen the environmental role of Protected GIs.&lt;/p&gt; &lt;p&gt;The link between food and the environment constitutes a core issue from the consumer’s point of view and in the political debate. Geographical indication products, due to their association with specific territories and links to specific local resources, can improve economic, social and environmental sustainability.&lt;/p&gt; &lt;p&gt;The present paper investigates the relationship between the legal protection of geographical indications and the environment, analyzing the Product Specifications of the 107 olive-oil geographical indications registered in the European Union....","author":[{"dropping-particle":"","family":"Belletti","given":"Giovanni","non-dropping-particle":"","parse-names":false,"suffix":""},{"dropping-particle":"","family":"Marescotti","given":"Andrea","non-dropping-particle":"","parse-names":false,"suffix":""},{"dropping-particle":"","family":"Sanz-Cañada","given":"Javier","non-dropping-particle":"","parse-names":false,"suffix":""},{"dropping-particle":"","family":"Vakoufaris","given":"Hristos","non-dropping-particle":"","parse-names":false,"suffix":""}],"container-title":"Land Use Policy","id":"ITEM-1","issued":{"date-parts":[["2015"]]},"page":"94-106","publisher":"Elsevier Ltd","title":"Linking protection of geographical indications to the environment: Evidence from the European Union olive-oil sector","type":"article-journal","volume":"48"},"uris":["http://www.mendeley.com/documents/?uuid=9f083e84-a627-4b3e-b020-4d731d0bebf2"]},{"id":"ITEM-2","itemData":{"DOI":"10.1007/s11625-017-0455-z","ISSN":"18624057","abstract":"Many Japanese and European landscapes harbor biocultural diversity that has been shaped by human agency over centuries. However, these landscapes are threatened by widespread land abandonment, land-use changes, and urbanization. The aim of this study is to use a “solution scanning” method to identify place-based food networks in Europe and Japan that reinforce linkages between biological and cultural diversity in landscapes. In our analysis of 26 European and 13 Japanese cases, we find that place-based food networks are typically located in heterogeneous landscapes, are driven by civil society (and less by markets), and act at a local scale. Regional identity is the most frequently addressed societal issue. Scenery, rural tourism, and nature conservation are more important motivations in Europe, and physical well-being and revitalization of local economies are more relevant in Japan. European models are typically associated with achieving biodiversity conservation and socio-cultural tradition outcomes, and Japanese models more with public health and nutrition outcomes. We discuss the potential for transfer of approaches from Japan to Europe (e.g., models that tackle the aging of rural societies), and from Europe to Japan (e.g., models that build explicit connections between food production and biodiversity conservation). We conclude with a list of recommended policy measures, e.g., the creation of a flexible legal framework that protects the interests of and reduces political constraints for collaborative efforts to biocultural diversity in landscapes.","author":[{"dropping-particle":"","family":"Plieninger","given":"Tobias","non-dropping-particle":"","parse-names":false,"suffix":""},{"dropping-particle":"","family":"Kohsaka","given":"Ryo","non-dropping-particle":"","parse-names":false,"suffix":""},{"dropping-particle":"","family":"Bieling","given":"Claudia","non-dropping-particle":"","parse-names":false,"suffix":""},{"dropping-particle":"","family":"Hashimoto","given":"Shizuka","non-dropping-particle":"","parse-names":false,"suffix":""},{"dropping-particle":"","family":"Kamiyama","given":"Chiho","non-dropping-particle":"","parse-names":false,"suffix":""},{"dropping-particle":"","family":"Kizos","given":"Thanasis","non-dropping-particle":"","parse-names":false,"suffix":""},{"dropping-particle":"","family":"Penker","given":"Marianne","non-dropping-particle":"","parse-names":false,"suffix":""},{"dropping-particle":"","family":"Kieninger","given":"Pia","non-dropping-particle":"","parse-names":false,"suffix":""},{"dropping-particle":"","family":"Shaw","given":"Brian J.","non-dropping-particle":"","parse-names":false,"suffix":""},{"dropping-particle":"","family":"Sioen","given":"Giles Bruno","non-dropping-particle":"","parse-names":false,"suffix":""},{"dropping-particle":"","family":"Yoshida","given":"Yuki","non-dropping-particle":"","parse-names":false,"suffix":""},{"dropping-particle":"","family":"Saito","given":"Osamu","non-dropping-particle":"","parse-names":false,"suffix":""}],"container-title":"Sustainability Science","id":"ITEM-2","issue":"1","issued":{"date-parts":[["2018"]]},"page":"219-233","publisher":"Springer Japan","title":"Fostering biocultural diversity in landscapes through place-based food networks: a “solution scan” of European and Japanese models","type":"article-journal","volume":"13"},"uris":["http://www.mendeley.com/documents/?uuid=5802e367-08b1-4f9a-a14b-5a9d358709eb"]}],"mendeley":{"formattedCitation":"(BELLETTI &lt;i&gt;et al.&lt;/i&gt;, 2015; PLIENINGER &lt;i&gt;et al.&lt;/i&gt;, 2018)","plainTextFormattedCitation":"(BELLETTI et al., 2015; PLIENINGER et al., 2018)","previouslyFormattedCitation":"(BELLETTI &lt;i&gt;et al.&lt;/i&gt;, 2015; PLIENINGER &lt;i&gt;et al.&lt;/i&gt;, 2018)"},"properties":{"noteIndex":0},"schema":"https://github.com/citation-style-language/schema/raw/master/csl-citation.json"}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(BELLETTI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2015; PLIENINGER </w:t>
            </w:r>
            <w:r w:rsidRPr="001C69EC">
              <w:rPr>
                <w:rFonts w:ascii="Arial" w:eastAsia="Times New Roman" w:hAnsi="Arial" w:cs="Arial"/>
                <w:i/>
                <w:noProof/>
                <w:lang w:eastAsia="pt-BR"/>
              </w:rPr>
              <w:t>et al.</w:t>
            </w:r>
            <w:r w:rsidRPr="001C69EC">
              <w:rPr>
                <w:rFonts w:ascii="Arial" w:eastAsia="Times New Roman" w:hAnsi="Arial" w:cs="Arial"/>
                <w:noProof/>
                <w:lang w:eastAsia="pt-BR"/>
              </w:rPr>
              <w:t>, 2018)</w:t>
            </w:r>
            <w:r w:rsidRPr="001C69EC">
              <w:rPr>
                <w:rFonts w:ascii="Arial" w:eastAsia="Times New Roman" w:hAnsi="Arial" w:cs="Arial"/>
                <w:lang w:eastAsia="pt-BR"/>
              </w:rPr>
              <w:fldChar w:fldCharType="end"/>
            </w:r>
            <w:r w:rsidRPr="001C69EC">
              <w:rPr>
                <w:rFonts w:ascii="Arial" w:eastAsia="Times New Roman" w:hAnsi="Arial" w:cs="Arial"/>
                <w:lang w:eastAsia="pt-BR"/>
              </w:rPr>
              <w:t xml:space="preserve"> </w:t>
            </w:r>
          </w:p>
        </w:tc>
      </w:tr>
      <w:tr w:rsidR="001C69EC" w:rsidRPr="001C69EC" w14:paraId="431857C9" w14:textId="77777777" w:rsidTr="00533B63">
        <w:trPr>
          <w:trHeight w:val="341"/>
        </w:trPr>
        <w:tc>
          <w:tcPr>
            <w:tcW w:w="4815" w:type="dxa"/>
            <w:noWrap/>
          </w:tcPr>
          <w:p w14:paraId="5A8A1D20"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 xml:space="preserve">Barreira contra a instalação de atividades com maior potencial de degradação ambiental (p. ex. mineração e geração de energia). </w:t>
            </w:r>
          </w:p>
        </w:tc>
        <w:tc>
          <w:tcPr>
            <w:tcW w:w="3969" w:type="dxa"/>
          </w:tcPr>
          <w:p w14:paraId="7F8C43F7" w14:textId="4E71537D"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{"citationItems":[{"id":"ITEM-1","itemData":{"DOI":"10.1080/13504630.2017.1291090","ISSN":"13630296","abstract":"This article examines social mobilisation against coal seam gas and coal mining in country New South Wales. While environmental concerns are one of the motivations behind recent mobilisations, the alliances that are emerging bring together groups with a diversity of interests and ideological orientation. Disappointment with political elites and concerns with lack of transparency and public accountability, are setting the foundations for new forms of grassroots collaboration. Against the widespread notion of depoliticisation in Western liberal democracies, I argue that the growth in community mobilisation in country Australia reveals a more dynamic relationship with politics, one that requires differentiating the more rigid spaces within political institutions, from the political field more broadly.","author":[{"dropping-particle":"","family":"Arashiro","given":"Zuleika","non-dropping-particle":"","parse-names":false,"suffix":""}],"container-title":"Social Identities","id":"ITEM-1","issue":"6","issued":{"date-parts":[["2017"]]},"page":"661-673","publisher":"Taylor &amp; Francis","title":"Mining, social contestation and the reclaiming of voice in Australia’s democracy","type":"article-journal","volume":"23"},"uris":["http://www.mendeley.com/documents/?uuid=f6e231cc-0e30-4b4f-b788-86fbe77d1f23"]},{"id":"ITEM-2","itemData":{"DOI":"10.1080/00167223.2013.876206","ISSN":"00167223","abstract":"Economic optimisation of the gross margin per hectare in agriculture reduces diversity, coherence and identity of cultural landscapes. Hence, landscape preservation calls for changes in the social–ecological organisation of places, which implies complex transitional processes towards new management regimes. These are supported by CAP reforms (Horizon, 2014–2020) that increasingly turn from individual production subsidies to farmers to the collective management of natural resources and the related ecosystem services. This article explores the opportunities for landscape preservation in Galicia, Spain. The central question is: ‘How to develop a successful planning approach in the context of a geographically peripheral area facing severe ecological, social and economic vulnerabilities?’ In the case study area, contrasting viewpoints on landscape preservation among rural dwellers, entrepreneurs and representatives of institutions point to power issues on control over the natural environment, but also provide input for the development of an actor-oriented approach to landscape preservation. This article provides a ‘tool’ for catching up with the EU objectives of sustainable, inclusive and smart growth and contributes to our understanding of how place-based development in EU programs can be combined with landscape management in Galicia.","author":[{"dropping-particle":"","family":"Swagemakers","given":"Paul","non-dropping-particle":"","parse-names":false,"suffix":""},{"dropping-particle":"","family":"Copena Rodríguez","given":"Damian","non-dropping-particle":"","parse-names":false,"suffix":""},{"dropping-particle":"","family":"Domínguez García","given":"María Dolores","non-dropping-particle":"","parse-names":false,"suffix":""},{"dropping-particle":"","family":"Simón Fernández","given":"Xavier","non-dropping-particle":"","parse-names":false,"suffix":""}],"container-title":"Geografisk Tidsskrift","id":"ITEM-2","issue":"2","issued":{"date-parts":[["2014"]]},"page":"109-118","publisher":"Routledge","title":"Fighting for a future: an actor-oriented planning approach to landscape preservation in Galicia","type":"article-journal","volume":"114"},"uris":["http://www.mendeley.com/documents/?uuid=63add8fb-b9dd-49c0-9623-d26e72e48d23"]}],"mendeley":{"formattedCitation":"(ARASHIRO, 2017; SWAGEMAKERS &lt;i&gt;et al.&lt;/i&gt;, 2014)","plainTextFormattedCitation":"(ARASHIRO, 2017; SWAGEMAKERS et al., 2014)","previouslyFormattedCitation":"(ARASHIRO, 2017; SWAGEMAKERS &lt;i&gt;et al.&lt;/i&gt;, 2014)"},"properties":{"noteIndex":0},"schema":"https://github.com/citation-style-language/schema/raw/master/csl-citation.json"}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(ARASHIRO, 2017; SWAGEMAKERS </w:t>
            </w:r>
            <w:r w:rsidRPr="001C69EC">
              <w:rPr>
                <w:rFonts w:ascii="Arial" w:eastAsia="Times New Roman" w:hAnsi="Arial" w:cs="Arial"/>
                <w:i/>
                <w:noProof/>
                <w:lang w:eastAsia="pt-BR"/>
              </w:rPr>
              <w:t>et al.</w:t>
            </w:r>
            <w:r w:rsidRPr="001C69EC">
              <w:rPr>
                <w:rFonts w:ascii="Arial" w:eastAsia="Times New Roman" w:hAnsi="Arial" w:cs="Arial"/>
                <w:noProof/>
                <w:lang w:eastAsia="pt-BR"/>
              </w:rPr>
              <w:t>, 2014)</w:t>
            </w:r>
            <w:r w:rsidRPr="001C69EC">
              <w:rPr>
                <w:rFonts w:ascii="Arial" w:eastAsia="Times New Roman" w:hAnsi="Arial" w:cs="Arial"/>
                <w:lang w:eastAsia="pt-BR"/>
              </w:rPr>
              <w:fldChar w:fldCharType="end"/>
            </w:r>
            <w:r w:rsidRPr="001C69EC">
              <w:rPr>
                <w:rFonts w:ascii="Arial" w:eastAsia="Times New Roman" w:hAnsi="Arial" w:cs="Arial"/>
                <w:lang w:eastAsia="pt-BR"/>
              </w:rPr>
              <w:t xml:space="preserve"> </w:t>
            </w:r>
          </w:p>
        </w:tc>
      </w:tr>
      <w:tr w:rsidR="001C69EC" w:rsidRPr="001C69EC" w14:paraId="376FFBA5" w14:textId="77777777" w:rsidTr="00533B63">
        <w:trPr>
          <w:trHeight w:val="255"/>
        </w:trPr>
        <w:tc>
          <w:tcPr>
            <w:tcW w:w="4815" w:type="dxa"/>
            <w:noWrap/>
            <w:hideMark/>
          </w:tcPr>
          <w:p w14:paraId="17EC9A01"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 xml:space="preserve">Conservação de microbiota associada aos processos artesanais de fermentação e </w:t>
            </w:r>
            <w:r w:rsidRPr="001C69EC">
              <w:rPr>
                <w:rFonts w:ascii="Arial" w:eastAsia="Times New Roman" w:hAnsi="Arial" w:cs="Arial"/>
                <w:lang w:eastAsia="pt-BR"/>
              </w:rPr>
              <w:lastRenderedPageBreak/>
              <w:t>preservação na produção de vinhos, queijos e produtos à base de carne.</w:t>
            </w:r>
          </w:p>
        </w:tc>
        <w:tc>
          <w:tcPr>
            <w:tcW w:w="3969" w:type="dxa"/>
          </w:tcPr>
          <w:p w14:paraId="6ADCE5FD" w14:textId="01888664"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lastRenderedPageBreak/>
              <w:fldChar w:fldCharType="begin" w:fldLock="1"/>
            </w:r>
            <w:r w:rsidRPr="001C69EC">
              <w:rPr>
                <w:rFonts w:ascii="Arial" w:eastAsia="Times New Roman" w:hAnsi="Arial" w:cs="Arial"/>
                <w:lang w:eastAsia="pt-BR"/>
              </w:rPr>
              <w:instrText>ADDIN CSL_CITATION {"citationItems":[{"id":"ITEM-1","itemData":{"DOI":"10.1016/j.meatsci.2020.108128","ISSN":"03091740","PMID":"32220814","abstract":"Ciauscolo is a fermented sausage with the Protected Geographical Indication (PGI) status. To disclose the microbial ecology of a model Ciauscolo salami manufacture during its natural fermentation, viable counting, amplicon-based sequencing and real-time PCR were applied. The volatilome during fermentation was also characterized. The results allowed previously undetected species to be discovered. The core microbiota was composed by Lactobacillus algidus, Leuconostoc carnosum, Lactobacillus sakei, Debaryomyces hansenii, Glomus hyderabadensis, Tilletiopsis washingtonensis, and Kurtzmaniella zeylanoides. Salmonella spp. and Listeria monocytogenes were absent in all the samples; moreover, multiplex real-time PCR revealed the absence of the target genes bont/A, bont/B, bont/E, bont/F, and 4gyrB (CP), encoding botulinic toxins. Volatilome, deeply depending on microbiological metabolism, was characterized by spices-derived components. Limonene, sabinene, α- and β-pinene, 3-carene, and α-thujene were the most represented monoterpene hydrocarbons, whereas β- and α-copaene were the most represented sesquiterpene hydrocarbons. Allyl methyl sulphide and diallyl disulphide were the major aliphatic sulphur compounds, together with diallyl sulphide and allyl methyl disulphide.","author":[{"dropping-particle":"","family":"Belleggia","given":"Luca","non-dropping-particle":"","parse-names":false,"suffix":""},{"dropping-particle":"","family":"Milanović","given":"Vesna","non-dropping-particle":"","parse-names":false,"suffix":""},{"dropping-particle":"","family":"Ferrocino","given":"Ilario","non-dropping-particle":"","parse-names":false,"suffix":""},{"dropping-particle":"","family":"Cocolin","given":"Luca","non-dropping-particle":"","parse-names":false,"suffix":""},{"dropping-particle":"","family":"Haouet","given":"M. Naceur","non-dropping-particle":"","parse-names":false,"suffix":""},{"dropping-particle":"","family":"Scuota","given":"Stefania","non-dropping-particle":"","parse-names":false,"suffix":""},{"dropping-particle":"","family":"Maoloni","given":"Antonietta","non-dropping-particle":"","parse-names":false,"suffix":""},{"dropping-particle":"","family":"Garofalo","given":"Cristiana","non-dropping-particle":"","parse-names":false,"suffix":""},{"dropping-particle":"","family":"Cardinali","given":"Federica","non-dropping-particle":"","parse-names":false,"suffix":""},{"dropping-particle":"","family":"Aquilanti","given":"Lucia","non-dropping-particle":"","parse-names":false,"suffix":""},{"dropping-particle":"","family":"Mozzon","given":"Massimo","non-dropping-particle":"","parse-names":false,"suffix":""},{"dropping-particle":"","family":"Foligni","given":"Roberta","non-dropping-particle":"","parse-names":false,"suffix":""},{"dropping-particle":"","family":"Pasquini","given":"Marina","non-dropping-particle":"","parse-names":false,"suffix":""},{"dropping-particle":"","family":"Trombetta","given":"Maria Federica","non-dropping-particle":"","parse-names":false,"suffix":""},{"dropping-particle":"","family":"Clementi","given":"Francesca","non-dropping-particle":"","parse-names":false,"suffix":""},{"dropping-particle":"","family":"Osimani","given":"Andrea","non-dropping-particle":"","parse-names":false,"suffix":""}],"container-title":"Meat Science","id":"ITEM-1","issue":"December 2019","issued":{"date-parts":[["2020"]]},"page":"108128","publisher":"Elsevier","title":"Is there any still undisclosed biodiversity in Ciauscolo salami? A new glance into the microbiota of an artisan production as revealed by high-throughput sequencing","type":"article-journal","volume":"165"},"uris":["http://www.mendeley.com/documents/?uuid=7b9a4a89-274a-4112-ba6e-03dfb691ee9e"]},{"id":"ITEM-2","itemData":{"DOI":"10.1007/s13213-015-1090-5","ISBN":"1321301510","ISSN":"18692044","abstract":"The aim of this work was to study the biodiversity of cultivable non-Saccharomyces yeasts isolated from the autochthonous wine variety ‘Uva di Troia’ from the North-Apulian region during vintages 2012 and 2013. Grapes were collected in vineyards from four different geographical areas on which four different wines with the status of geographical indication are produced. Different restriction profiles of ITS–5.8S rDNA regions, corresponding to those of Candida boidinii, Candida zemplinina, Hanseniaspora guilliermondii, Issatchenkia terricola, Zygosaccharomyces bailii, Hanseniaspora uvarum, Zygoascus hellenicus and Hanseniaspora opuntiae, were observed. The most abundant genera were represented by Hanseniasporaguilliermondii and Candida zemplinina. Significant differences among locations and vintages were observed. This first report on non-Saccharomyces diversity during the early steps of spontaneous alcoholic fermentation of Nero di Troia wines provides the basis for an improved management of non-Saccharomyces in typical Apulian wines, which will be important for the development of the local wine industry and to achieve an enhanced standard of safety in the final production.","author":[{"dropping-particle":"","family":"Garofalo","given":"Carmela","non-dropping-particle":"","parse-names":false,"suffix":""},{"dropping-particle":"","family":"Russo","given":"Pasquale","non-dropping-particle":"","parse-names":false,"suffix":""},{"dropping-particle":"","family":"Beneduce","given":"Luciano","non-dropping-particle":"","parse-names":false,"suffix":""},{"dropping-particle":"","family":"Massa","given":"Salvatore","non-dropping-particle":"","parse-names":false,"suffix":""},{"dropping-particle":"","family":"Spano","given":"Giuseppe","non-dropping-particle":"","parse-names":false,"suffix":""},{"dropping-particle":"","family":"Capozzi","given":"Vittorio","non-dropping-particle":"","parse-names":false,"suffix":""}],"container-title":"Annals of Microbiology","id":"ITEM-2","issue":"1","issued":{"date-parts":[["2016"]]},"page":"143-150","title":"Non-Saccharomyces biodiversity in wine and the ‘microbial terroir’: a survey on Nero di Troia wine from the Apulian region, Italy","type":"article-journal","volume":"66"},"uris":["http://www.mendeley.com/documents/?uuid=6387d668-1d05-4558-9ab3-8cf8dc634d13"]}],"mendeley":{"formattedCitation":"(BELLEGGIA &lt;i&gt;et al.&lt;/i&gt;, 2020; GAROFALO &lt;i&gt;et al.&lt;/i&gt;, 2016)","plainTextFormattedCitation":"(BELLEGGIA et al., 2020; GAROFALO et al., 2016)","previouslyFormattedCitation":"(BELLEGGIA &lt;i&gt;et al.&lt;/i&gt;, 2020; GAROFALO &lt;i&gt;et al.&lt;/i&gt;, 2016)"},"properties":{"noteIndex":0},"schema":"https://github.com/citation-style-language/schema/raw/master/csl-citation.json"}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(BELLEGGIA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2020; GAROFALO </w:t>
            </w:r>
            <w:r w:rsidRPr="001C69EC">
              <w:rPr>
                <w:rFonts w:ascii="Arial" w:eastAsia="Times New Roman" w:hAnsi="Arial" w:cs="Arial"/>
                <w:i/>
                <w:noProof/>
                <w:lang w:eastAsia="pt-BR"/>
              </w:rPr>
              <w:t>et al.</w:t>
            </w:r>
            <w:r w:rsidRPr="001C69EC">
              <w:rPr>
                <w:rFonts w:ascii="Arial" w:eastAsia="Times New Roman" w:hAnsi="Arial" w:cs="Arial"/>
                <w:noProof/>
                <w:lang w:eastAsia="pt-BR"/>
              </w:rPr>
              <w:t>, 2016)</w:t>
            </w:r>
            <w:r w:rsidRPr="001C69EC">
              <w:rPr>
                <w:rFonts w:ascii="Arial" w:eastAsia="Times New Roman" w:hAnsi="Arial" w:cs="Arial"/>
                <w:lang w:eastAsia="pt-BR"/>
              </w:rPr>
              <w:fldChar w:fldCharType="end"/>
            </w:r>
            <w:r w:rsidRPr="001C69EC">
              <w:rPr>
                <w:rFonts w:ascii="Arial" w:eastAsia="Times New Roman" w:hAnsi="Arial" w:cs="Arial"/>
                <w:lang w:eastAsia="pt-BR"/>
              </w:rPr>
              <w:t xml:space="preserve"> </w:t>
            </w:r>
          </w:p>
        </w:tc>
      </w:tr>
      <w:tr w:rsidR="001C69EC" w:rsidRPr="001C69EC" w14:paraId="3A863FE5" w14:textId="77777777" w:rsidTr="00533B63">
        <w:trPr>
          <w:trHeight w:val="255"/>
        </w:trPr>
        <w:tc>
          <w:tcPr>
            <w:tcW w:w="4815" w:type="dxa"/>
            <w:noWrap/>
            <w:hideMark/>
          </w:tcPr>
          <w:p w14:paraId="5E15AF99"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Valorização das culturas permanentes, arbóreas e com alta diversidade vegetal, as quais fornecem serviços ecossistêmicos de provisão (madeira e lenha) e serviços ecossistêmicos de regulação (microclima, sombra para animais, controle de doenças, purificação de água, estoque de carbono, controle de erosão e prevenção contra enchentes).</w:t>
            </w:r>
          </w:p>
        </w:tc>
        <w:tc>
          <w:tcPr>
            <w:tcW w:w="3969" w:type="dxa"/>
          </w:tcPr>
          <w:p w14:paraId="00FE6571" w14:textId="083FD766"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{"citationItems":[{"id":"ITEM-1","itemData":{"DOI":"10.4081/ija.2017.793","ISSN":"11254718","abstract":"In the context of increasing attention towards sustainable and high quality food products, Italy plays a key role in Europe due to its embedded territorial vocation for locally produced food and alternative agriculture systems helping biodiversity and landscape preservation. Here, we report an overview of Italian agriculture by analysing organic farming (OF) and geographical indication (GI) systems and their contribution to the national agriculture. Land use data highlight that OF and GI contribute around 10% to the utilised agriculture area (UAA), with relevant distinctions in terms of regional distribution. While GIs are mostly in the north-central regions (8.5%), OF products are most frequent in the south and on the islands (5.0% of UAA). This trend was observed on the one hand in Trentino-South Tirol, Veneto and Friuli-Venezia Giulia (%UAA GI/%UAA OF&gt;5.9), and on the other in Calabria, Basilicata and Sicily (%UAA GI/%UAA OF&lt;0.1). Similarly, both systems are widespread in less-favoured areas in terms of agricultural intensification, providing support to preserve agro-systems and reduce land abandonment.","author":[{"dropping-particle":"","family":"Dal Ferro","given":"Nicola","non-dropping-particle":"","parse-names":false,"suffix":""},{"dropping-particle":"","family":"Borin","given":"Maurizio","non-dropping-particle":"","parse-names":false,"suffix":""}],"container-title":"Italian Journal of Agronomy","id":"ITEM-1","issue":"2","issued":{"date-parts":[["2017"]]},"page":"133-143","title":"Environment, agro-system and quality of food production in Italy","type":"article-journal","volume":"12"},"uris":["http://www.mendeley.com/documents/?uuid=59753205-fa6f-4c50-aef9-e93bdd2dc135"]},{"id":"ITEM-2","itemData":{"DOI":"10.1007/s10457-017-0181-7","ISBN":"1045701701817","ISSN":"15729680","abstract":"Most farm-based agroforestry projects focus on the integration of trees on arable or livestock enterprises. This paper focuses on the integration of understorey crops and/or livestock within high value tree systems (e.g., apple orchards, olive groves, chestnut woodlands, and walnut plantations), and describes the components, structure, ecosystem services and economic value of ten case studies of this type of agroforestry across Europe. Although their ecological and socio-economic contexts vary, the systems share some common characteristics. The primary objective of the farmer is likely to remain the value of tree products like apples, olives, oranges, or nuts, or particularly high value timber. However there can still be production, environmental or economic benefits of integrating agricultural crops such as chickpeas and barley, or grazing an understorey grass crop with livestock. Three of the systems focused on the grazing of apple orchards with sheep in the UK and France. The introduction of sheep to apple orchards can minimise the need for mowing and provide an additional source of revenue. Throughout the Mediterranean, there is a need to improve the financial viability of olive groves. The case studies illustrate the possibility of intercropping traditional olive stands with chickpea in Greece, or the intercropping of wild asparagus in high density olive groves in Italy. Another system studied in Greece involves orange trees intercropped with chickpeas. Stands of chestnut trees in North-west Spain can provide feed for pigs when the fruit falls in November, and provide an excellent habitat for the commercial production of edible mushrooms. In Spain, in the production of high quality walnut trees using rotations of up to 50–60 years, there are options to establish a legume-based mixed pasture understorey and to introduce sheep to provide financial and environmental benefits.","author":[{"dropping-particle":"","family":"Pantera","given":"A.","non-dropping-particle":"","parse-names":false,"suffix":""},{"dropping-particle":"","family":"Burgess","given":"P. J.","non-dropping-particle":"","parse-names":false,"suffix":""},{"dropping-particle":"","family":"Mosquera Losada","given":"R.","non-dropping-particle":"","parse-names":false,"suffix":""},{"dropping-particle":"","family":"Moreno","given":"G.","non-dropping-particle":"","parse-names":false,"suffix":""},{"dropping-particle":"","family":"López-Díaz","given":"M. L.","non-dropping-particle":"","parse-names":false,"suffix":""},{"dropping-particle":"","family":"Corroyer","given":"N.","non-dropping-particle":"","parse-names":false,"suffix":""},{"dropping-particle":"","family":"McAdam","given":"J.","non-dropping-particle":"","parse-names":false,"suffix":""},{"dropping-particle":"","family":"Rosati","given":"A.","non-dropping-particle":"","parse-names":false,"suffix":""},{"dropping-particle":"","family":"Papadopoulos","given":"A. M.","non-dropping-particle":"","parse-names":false,"suffix":""},{"dropping-particle":"","family":"Graves","given":"A.","non-dropping-particle":"","parse-names":false,"suffix":""},{"dropping-particle":"","family":"Rigueiro Rodríguez","given":"A.","non-dropping-particle":"","parse-names":false,"suffix":""},{"dropping-particle":"","family":"Ferreiro-Domínguez","given":"N.","non-dropping-particle":"","parse-names":false,"suffix":""},{"dropping-particle":"","family":"Fernández Lorenzo","given":"J. L.","non-dropping-particle":"","parse-names":false,"suffix":""},{"dropping-particle":"","family":"González-Hernández","given":"M. P.","non-dropping-particle":"","parse-names":false,"suffix":""},{"dropping-particle":"","family":"Papanastasis","given":"V. P.","non-dropping-particle":"","parse-names":false,"suffix":""},{"dropping-particle":"","family":"Mantzanas","given":"K.","non-dropping-particle":"","parse-names":false,"suffix":""},{"dropping-particle":"","family":"Lerberghe","given":"P.","non-dropping-particle":"Van","parse-names":false,"suffix":""},{"dropping-particle":"","family":"Malignier","given":"N.","non-dropping-particle":"","parse-names":false,"suffix":""}],"container-title":"Agroforestry Systems","id":"ITEM-2","issue":"4","issued":{"date-parts":[["2018"]]},"page":"945-959","title":"Agroforestry for high value tree systems in Europe","type":"article-journal","volume":"92"},"uris":["http://www.mendeley.com/documents/?uuid=b547f5af-dc71-4c96-b68c-e3782ec4f72a"]}],"mendeley":{"formattedCitation":"(DAL FERRO; BORIN, 2017; PANTERA &lt;i&gt;et al.&lt;/i&gt;, 2018)","plainTextFormattedCitation":"(DAL FERRO; BORIN, 2017; PANTERA et al., 2018)","previouslyFormattedCitation":"(DAL FERRO; BORIN, 2017; PANTERA &lt;i&gt;et al.&lt;/i&gt;, 2018)"},"properties":{"noteIndex":0},"schema":"https://github.com/citation-style-language/schema/raw/master/csl-citation.json"}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(DAL FERRO; BORIN, 2017; PANTERA </w:t>
            </w:r>
            <w:r w:rsidRPr="001C69EC">
              <w:rPr>
                <w:rFonts w:ascii="Arial" w:eastAsia="Times New Roman" w:hAnsi="Arial" w:cs="Arial"/>
                <w:i/>
                <w:noProof/>
                <w:lang w:eastAsia="pt-BR"/>
              </w:rPr>
              <w:t>et al.</w:t>
            </w:r>
            <w:r w:rsidRPr="001C69EC">
              <w:rPr>
                <w:rFonts w:ascii="Arial" w:eastAsia="Times New Roman" w:hAnsi="Arial" w:cs="Arial"/>
                <w:noProof/>
                <w:lang w:eastAsia="pt-BR"/>
              </w:rPr>
              <w:t>, 2018)</w:t>
            </w:r>
            <w:r w:rsidRPr="001C69EC">
              <w:rPr>
                <w:rFonts w:ascii="Arial" w:eastAsia="Times New Roman" w:hAnsi="Arial" w:cs="Arial"/>
                <w:lang w:eastAsia="pt-BR"/>
              </w:rPr>
              <w:fldChar w:fldCharType="end"/>
            </w:r>
          </w:p>
        </w:tc>
      </w:tr>
      <w:tr w:rsidR="001C69EC" w:rsidRPr="001C69EC" w14:paraId="39F10C53" w14:textId="77777777" w:rsidTr="00533B63">
        <w:trPr>
          <w:trHeight w:val="255"/>
        </w:trPr>
        <w:tc>
          <w:tcPr>
            <w:tcW w:w="4815" w:type="dxa"/>
            <w:noWrap/>
          </w:tcPr>
          <w:p w14:paraId="4B4E1599"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Controle de espécies invasoras.</w:t>
            </w:r>
          </w:p>
        </w:tc>
        <w:tc>
          <w:tcPr>
            <w:tcW w:w="3969" w:type="dxa"/>
          </w:tcPr>
          <w:p w14:paraId="0D9F78FC" w14:textId="382F1D1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{"citationItems":[{"id":"ITEM-1","itemData":{"DOI":"10.1016/j.agsy.2004.05.005","ISSN":"0308521X","abstract":"Cultural landscapes in Europe provide a wide range of food products and fulfil social and environmental functions. In order to maintain agricultural practices that contribute to maintaining the biological and cultural value of semi-natural landscapes, agri-environmental schemes are being implemented in many western European countries. In the mountains of southern Europe a major issue is the encroachment of shrubs and trees through natural forest succession following agro-pastoral extensification. In this paper we analyse trends in land use strategies of sheep breeders in response to milk pricing and in relation to various within-farm mechanisms. We show that changes in production rules within the Roquefort cheese protected geographical indication have caused farmers to develop an alternative land use strategy. In this alternative model, farmers now consider rangelands as a valuable resource. By increasing the use of rangelands for sheep grazing and alimentation, this new strategy provides a more effective control of shrub and tree encroachment. We suggest that this involuntary consequence of production and market decisions has been at least as important as agri-environmental schemes in leading ewes' milk producers to make changes in their land use strategy. © 2004 Elsevier Ltd. All rights reserved.","author":[{"dropping-particle":"","family":"Quetier","given":"Fabien","non-dropping-particle":"","parse-names":false,"suffix":""},{"dropping-particle":"","family":"Marty","given":"Pascal","non-dropping-particle":"","parse-names":false,"suffix":""},{"dropping-particle":"","family":"Lepart","given":"Jacques","non-dropping-particle":"","parse-names":false,"suffix":""}],"container-title":"Agricultural Systems","id":"ITEM-1","issue":"2","issued":{"date-parts":[["2005"]]},"page":"171-193","title":"Farmers' management strategies and land use in an agropastoral landscape: Roquefort cheese production rules as a driver of change","type":"article-journal","volume":"84"},"uris":["http://www.mendeley.com/documents/?uuid=64ffe080-0d5c-452a-a813-6632ffc60d87"]}],"mendeley":{"formattedCitation":"(QUETIER; MARTY; LEPART, 2005)","plainTextFormattedCitation":"(QUETIER; MARTY; LEPART, 2005)","previouslyFormattedCitation":"(QUETIER; MARTY; LEPART, 2005)"},"properties":{"noteIndex":0},"schema":"https://github.com/citation-style-language/schema/raw/master/csl-citation.json"}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(QUETIER; MARTY; LEPART, 2005)</w:t>
            </w:r>
            <w:r w:rsidRPr="001C69EC">
              <w:rPr>
                <w:rFonts w:ascii="Arial" w:eastAsia="Times New Roman" w:hAnsi="Arial" w:cs="Arial"/>
                <w:lang w:eastAsia="pt-BR"/>
              </w:rPr>
              <w:fldChar w:fldCharType="end"/>
            </w:r>
          </w:p>
        </w:tc>
      </w:tr>
      <w:tr w:rsidR="001C69EC" w:rsidRPr="001C69EC" w14:paraId="7ED5EF7D" w14:textId="77777777" w:rsidTr="00533B63">
        <w:trPr>
          <w:trHeight w:val="255"/>
        </w:trPr>
        <w:tc>
          <w:tcPr>
            <w:tcW w:w="4815" w:type="dxa"/>
            <w:noWrap/>
          </w:tcPr>
          <w:p w14:paraId="6F72AF81"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Controle da expansão urbana e especulação imobiliária; Manutenção de paisagens agrícolas em áreas urbanas e periurbanas.</w:t>
            </w:r>
          </w:p>
        </w:tc>
        <w:tc>
          <w:tcPr>
            <w:tcW w:w="3969" w:type="dxa"/>
          </w:tcPr>
          <w:p w14:paraId="1DC3E286" w14:textId="087C48A4"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{"citationItems":[{"id":"ITEM-1","itemData":{"DOI":"10.1080/13563475.2013.750943","ISSN":"13563475","abstract":"In the literature on urban sprawl, few studies have looked at possible connection between effective protection of agricultural land and urban or community food strategies. Our case studies in Provence and Tuscany show that planning prescriptions and land-market control are insufficient to protect farmland on the urban fringe if regulatory approaches are not integrated into a global strategy for agriculture and food based on community involvement. Farmland protection policies are more effective if they combine top-down policies with bottom-up initiatives and if they recognize the multifunctional character of urban agriculture, especially with processed goods such as wine or olive oil. © 2013 Copyright Taylor and Francis Group, LLC.","author":[{"dropping-particle":"","family":"Perrin","given":"Coline","non-dropping-particle":"","parse-names":false,"suffix":""}],"container-title":"International Planning Studies","id":"ITEM-1","issue":"1","issued":{"date-parts":[["2013"]]},"page":"21-36","title":"Regulation of Farmland Conversion on the Urban Fringe: From Land-Use Planning to Food Strategies. Insight into Two Case Studies in Provence and Tuscany","type":"article-journal","volume":"18"},"uris":["http://www.mendeley.com/documents/?uuid=b834800d-4872-428c-b854-9adfec4edd3c"]}],"mendeley":{"formattedCitation":"(PERRIN, 2013)","plainTextFormattedCitation":"(PERRIN, 2013)","previouslyFormattedCitation":"(PERRIN, 2013)"},"properties":{"noteIndex":0},"schema":"https://github.com/citation-style-language/schema/raw/master/csl-citation.json"}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(PERRIN, 2013)</w:t>
            </w:r>
            <w:r w:rsidRPr="001C69EC">
              <w:rPr>
                <w:rFonts w:ascii="Arial" w:eastAsia="Times New Roman" w:hAnsi="Arial" w:cs="Arial"/>
                <w:lang w:eastAsia="pt-BR"/>
              </w:rPr>
              <w:fldChar w:fldCharType="end"/>
            </w:r>
          </w:p>
        </w:tc>
      </w:tr>
      <w:tr w:rsidR="001C69EC" w:rsidRPr="001C69EC" w14:paraId="7B11AA8C" w14:textId="77777777" w:rsidTr="00533B63">
        <w:trPr>
          <w:trHeight w:val="255"/>
        </w:trPr>
        <w:tc>
          <w:tcPr>
            <w:tcW w:w="4815" w:type="dxa"/>
            <w:noWrap/>
          </w:tcPr>
          <w:p w14:paraId="7051932E"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Prevenção de fogo (comum no contexto de abandono de áreas agrícolas e pastagens, que sofrem invasão por espécies exóticas arbustivas e arbóreas).</w:t>
            </w:r>
          </w:p>
        </w:tc>
        <w:tc>
          <w:tcPr>
            <w:tcW w:w="3969" w:type="dxa"/>
          </w:tcPr>
          <w:p w14:paraId="048846D2" w14:textId="5F1D6220"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{"citationItems":[{"id":"ITEM-1","itemData":{"DOI":"10.1080/00167223.2013.876206","ISSN":"00167223","abstract":"Economic optimisation of the gross margin per hectare in agriculture reduces diversity, coherence and identity of cultural landscapes. Hence, landscape preservation calls for changes in the social–ecological organisation of places, which implies complex transitional processes towards new management regimes. These are supported by CAP reforms (Horizon, 2014–2020) that increasingly turn from individual production subsidies to farmers to the collective management of natural resources and the related ecosystem services. This article explores the opportunities for landscape preservation in Galicia, Spain. The central question is: ‘How to develop a successful planning approach in the context of a geographically peripheral area facing severe ecological, social and economic vulnerabilities?’ In the case study area, contrasting viewpoints on landscape preservation among rural dwellers, entrepreneurs and representatives of institutions point to power issues on control over the natural environment, but also provide input for the development of an actor-oriented approach to landscape preservation. This article provides a ‘tool’ for catching up with the EU objectives of sustainable, inclusive and smart growth and contributes to our understanding of how place-based development in EU programs can be combined with landscape management in Galicia.","author":[{"dropping-particle":"","family":"Swagemakers","given":"Paul","non-dropping-particle":"","parse-names":false,"suffix":""},{"dropping-particle":"","family":"Copena Rodríguez","given":"Damian","non-dropping-particle":"","parse-names":false,"suffix":""},{"dropping-particle":"","family":"Domínguez García","given":"María Dolores","non-dropping-particle":"","parse-names":false,"suffix":""},{"dropping-particle":"","family":"Simón Fernández","given":"Xavier","non-dropping-particle":"","parse-names":false,"suffix":""}],"container-title":"Geografisk Tidsskrift","id":"ITEM-1","issue":"2","issued":{"date-parts":[["2014"]]},"page":"109-118","publisher":"Routledge","title":"Fighting for a future: an actor-oriented planning approach to landscape preservation in Galicia","type":"article-journal","volume":"114"},"uris":["http://www.mendeley.com/documents/?uuid=63add8fb-b9dd-49c0-9623-d26e72e48d23"]}],"mendeley":{"formattedCitation":"(SWAGEMAKERS &lt;i&gt;et al.&lt;/i&gt;, 2014)","plainTextFormattedCitation":"(SWAGEMAKERS et al., 2014)","previouslyFormattedCitation":"(SWAGEMAKERS &lt;i&gt;et al.&lt;/i&gt;, 2014)"},"properties":{"noteIndex":0},"schema":"https://github.com/citation-style-language/schema/raw/master/csl-citation.json"}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(SWAGEMAKERS </w:t>
            </w:r>
            <w:r w:rsidRPr="001C69EC">
              <w:rPr>
                <w:rFonts w:ascii="Arial" w:eastAsia="Times New Roman" w:hAnsi="Arial" w:cs="Arial"/>
                <w:i/>
                <w:noProof/>
                <w:lang w:eastAsia="pt-BR"/>
              </w:rPr>
              <w:t>et al.</w:t>
            </w:r>
            <w:r w:rsidRPr="001C69EC">
              <w:rPr>
                <w:rFonts w:ascii="Arial" w:eastAsia="Times New Roman" w:hAnsi="Arial" w:cs="Arial"/>
                <w:noProof/>
                <w:lang w:eastAsia="pt-BR"/>
              </w:rPr>
              <w:t>, 2014)</w:t>
            </w:r>
            <w:r w:rsidRPr="001C69EC">
              <w:rPr>
                <w:rFonts w:ascii="Arial" w:eastAsia="Times New Roman" w:hAnsi="Arial" w:cs="Arial"/>
                <w:lang w:eastAsia="pt-BR"/>
              </w:rPr>
              <w:fldChar w:fldCharType="end"/>
            </w:r>
          </w:p>
        </w:tc>
      </w:tr>
      <w:tr w:rsidR="001C69EC" w:rsidRPr="001C69EC" w14:paraId="4CFE49AA" w14:textId="77777777" w:rsidTr="00533B63">
        <w:trPr>
          <w:trHeight w:val="255"/>
        </w:trPr>
        <w:tc>
          <w:tcPr>
            <w:tcW w:w="4815" w:type="dxa"/>
            <w:noWrap/>
          </w:tcPr>
          <w:p w14:paraId="6FC8A8E7"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Criação de reservas ambientais e estabelecimentos de projetos de reflorestamento.</w:t>
            </w:r>
          </w:p>
        </w:tc>
        <w:tc>
          <w:tcPr>
            <w:tcW w:w="3969" w:type="dxa"/>
          </w:tcPr>
          <w:p w14:paraId="0004A36D" w14:textId="3D327C14"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{"citationItems":[{"id":"ITEM-1","itemData":{"DOI":"10.1080/08039410.2014.901239","ISSN":"08039410","abstract":"This article addresses the intertwining and co-production of normative and technological strands in the politics of natural resource extraction. It explores how the integration of a forest resource in the global economy by means of normative and technological appropriation is associated with the delegation of responsibility for its conservation and the sustainability of its extraction management to local-use rights holders. In the process, such entanglements involve the commodification of a local staple as a niche product exploitable on a global scale. The transformation of the access rights of local people into responsibilities is addressed as an implicit form of de facto soft land and resource grabbing (e.g. Zoomers 2010; Sassen 2013; Seufert 2013). This article aims to contribute to the ongoing debate around forms of accumulation by dispossession (Harvey 2003; Kelly 2011; Corson 2011). The specific case study involves the emergence of argan oil on the world market. © 2014 © 2014 Max Planck Institute for Social Anthropology.","author":[{"dropping-particle":"","family":"Turner","given":"Bertram","non-dropping-particle":"","parse-names":false,"suffix":""}],"container-title":"Forum for Development Studies","id":"ITEM-1","issue":"2","issued":{"date-parts":[["2014"]]},"page":"207-232","title":"Neoliberal politics of resource extraction: Moroccan argan oil","type":"article-journal","volume":"41"},"uris":["http://www.mendeley.com/documents/?uuid=14568465-2b80-4c16-8c83-99f84422d64f"]}],"mendeley":{"formattedCitation":"(TURNER, 2014)","plainTextFormattedCitation":"(TURNER, 2014)","previouslyFormattedCitation":"(TURNER, 2014)"},"properties":{"noteIndex":0},"schema":"https://github.com/citation-style-language/schema/raw/master/csl-citation.json"}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(TURNER, 2014)</w:t>
            </w:r>
            <w:r w:rsidRPr="001C69EC">
              <w:rPr>
                <w:rFonts w:ascii="Arial" w:eastAsia="Times New Roman" w:hAnsi="Arial" w:cs="Arial"/>
                <w:lang w:eastAsia="pt-BR"/>
              </w:rPr>
              <w:fldChar w:fldCharType="end"/>
            </w:r>
          </w:p>
        </w:tc>
      </w:tr>
      <w:tr w:rsidR="001C69EC" w:rsidRPr="001C69EC" w14:paraId="4F24E2A8" w14:textId="77777777" w:rsidTr="00533B63">
        <w:trPr>
          <w:trHeight w:val="255"/>
        </w:trPr>
        <w:tc>
          <w:tcPr>
            <w:tcW w:w="8784" w:type="dxa"/>
            <w:gridSpan w:val="2"/>
            <w:shd w:val="clear" w:color="auto" w:fill="FF7C5D"/>
            <w:noWrap/>
          </w:tcPr>
          <w:p w14:paraId="525CDA05"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b/>
                <w:bCs/>
                <w:lang w:eastAsia="pt-BR"/>
              </w:rPr>
              <w:t>Efeitos negativos</w:t>
            </w:r>
          </w:p>
        </w:tc>
      </w:tr>
      <w:tr w:rsidR="001C69EC" w:rsidRPr="001C69EC" w14:paraId="07317124" w14:textId="77777777" w:rsidTr="00533B63">
        <w:trPr>
          <w:trHeight w:val="255"/>
        </w:trPr>
        <w:tc>
          <w:tcPr>
            <w:tcW w:w="4815" w:type="dxa"/>
            <w:noWrap/>
            <w:hideMark/>
          </w:tcPr>
          <w:p w14:paraId="55183600"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Intensificação produtiva, com substituição de práticas tradicionais (intensivas em trabalho), por práticas produtivistas, mecanizadas e intensivas em insumos químicos (p. ex. aumento do uso de pesticidas, plástico e parafina).</w:t>
            </w:r>
          </w:p>
          <w:p w14:paraId="1CDC7837" w14:textId="77777777" w:rsidR="001C69EC" w:rsidRPr="001C69EC" w:rsidRDefault="001C69EC" w:rsidP="00533B63">
            <w:pPr>
              <w:rPr>
                <w:rFonts w:ascii="Arial" w:eastAsia="Times New Roman" w:hAnsi="Arial" w:cs="Arial"/>
                <w:lang w:eastAsia="pt-BR"/>
              </w:rPr>
            </w:pPr>
          </w:p>
        </w:tc>
        <w:tc>
          <w:tcPr>
            <w:tcW w:w="3969" w:type="dxa"/>
          </w:tcPr>
          <w:p w14:paraId="50FCA421" w14:textId="68C09CD2"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{"citationItems":[{"id":"ITEM-1","itemData":{"DOI":"10.1111/j.1549-0831.2009.00007.x","ISSN":"00360112","abstract":"Geographical indications (GIs) are place-based names that conveythe geographical origin, as well as the cultural and historical identity, of agricultural products. GIs are unique, in that they provide ameans of ensuring that control over production and sales of a product stays within a local area, but at the same time they make use of extralocal markets. Although control over GIs largely rests with local actors, GIs are nested in wider regional, national, and international networks; and the passage from local to extralocal markets introduces new costs and benefits and new relations of power into the supply chain. The degree to which GI protection spurs development and protects local environmental and cultural resources depends on the structure of the GI legislation and on the territorial context in which protection is embedded. Using a commodity-chains approach, I compare two GI production systems, tequila in Mexico and Comté cheese in France, in order to develop a theory of the factors that contribute to more sustainable, equitable GI production systems. I argue that three key differences in the design of the GI schemes help to explain the varying effects of the two cases: (1) the manner in which supply-chain actors define quality, (2) the way that the GI valorizes the terroir of the region, and (3) the strength and cohesion that the collective organizing body exhibits. Moreover, the institutional and political context in which GI supply chains \"touch down\" plays a critical role. Contrary to a conceptualization of GIs as compatible with a purely market-oriented model, my comparison of these two cases indicates that some level of state involvement, in order to level the playing field and empower small farmers, is a necessary, although not sufficient, precondition for successful and sustainable GIs. © 2010, by the Rural Sociological Society.","author":[{"dropping-particle":"","family":"Bowen","given":"Sarah","non-dropping-particle":"","parse-names":false,"suffix":""}],"container-title":"Rural Sociology","id":"ITEM-1","issue":"2","issued":{"date-parts":[["2010"]]},"page":"209-243","title":"Embedding local places in global spaces: Geographical indications as a territorial development strategy","type":"article-journal","volume":"75"},"uris":["http://www.mendeley.com/documents/?uuid=41288291-e66a-433d-bd5a-6912780c5c96"]},{"id":"ITEM-2","itemData":{"DOI":"10.1016/j.jrurstud.2008.07.003","ISSN":"07430167","abstract":"In this paper, we use the case of tequila to examine the potential for geographical indications (GIs) to contribute to socioeconomic and environmental sustainability. GIs are place-based names (e.g., Champagne, Roquefort) that convey the geographical origin, as well as the cultural and historical identity, of agricultural products. The GI for tequila was established by the Mexican government in 1974, making it the oldest GI, and one of the best-recognized, outside of Europe. Here, we examine the social, economic, and ecological impacts that the agave-tequila industry has had on one community in tequila's region of origin, the town of Amatitán. We show that persistent cycles of surplus and shortage of agave and changing production relations in the agave-tequila industry have led to: (1) economic insecurity among farm households; (2) increased use of chemical inputs, at the expense of more labor-intensive cultivation practices; and (3) overall declines in fertilizer application, especially during periods in which there is a surplus of agave. We argue that the negative effects of the agave-tequila industry on the local economy and environment are due to the failure of the GI for tequila to value the ways in which the terroir of tequila's region of origin have contributed to its specific properties. We conclude by using this case to discuss more generally the relationship between the protection of place-based products (known collectively as geographical indications) and social and environmental sustainability. © 2008 Elsevier Ltd. All rights reserved.","author":[{"dropping-particle":"","family":"Bowen","given":"Sarah","non-dropping-particle":"","parse-names":false,"suffix":""},{"dropping-particle":"","family":"Zapata","given":"Ana Valenzuela","non-dropping-particle":"","parse-names":false,"suffix":""}],"container-title":"Journal of Rural Studies","id":"ITEM-2","issue":"1","issued":{"date-parts":[["2009"]]},"page":"108-119","publisher":"Elsevier Ltd","title":"Geographical indications, terroir, and socioeconomic and ecological sustainability: The case of tequila","type":"article-journal","volume":"25"},"uris":["http://www.mendeley.com/documents/?uuid=3463ac19-4add-4f2f-890a-50bff2fd4dcf"]},{"id":"ITEM-3","itemData":{"DOI":"10.1659/mrd.0922","ISSN":"02764741","abstract":"A geographical indication (GI) is a form of protection highlighted in the Trade Related Aspects of Intellectual Property Rights (TRIPS) Agreement of the World Trade Organization (WTO). It protects intangible economic assets such as the quality and reputation of a product through market differentiation. It is considered a promising tool at the international level to maintain multifunctionality in rural landscapes and involve local populations in biodiversity management and conservation. Using the example of an existing GI for Coorg orange, a crop frequently associated with coffee agroforestry systems in the mountain region of Kodagu (Western Ghats, India), we discuss how a GI can successfully used by local producers and what conditions are needed for it to have a positive impact on the landscape and its associated biodiversity.","author":[{"dropping-particle":"","family":"Garcia","given":"Claude","non-dropping-particle":"","parse-names":false,"suffix":""},{"dropping-particle":"","family":"Marie-Vivien","given":"Delphine","non-dropping-particle":"","parse-names":false,"suffix":""},{"dropping-particle":"","family":"Kushalappa","given":"Chepudira G.","non-dropping-particle":"","parse-names":false,"suffix":""},{"dropping-particle":"","family":"Chengappa","given":"P. G.","non-dropping-particle":"","parse-names":false,"suffix":""},{"dropping-particle":"","family":"Nanaya","given":"K. M.","non-dropping-particle":"","parse-names":false,"suffix":""}],"container-title":"Mountain Research and Development","id":"ITEM-3","issue":"3","issued":{"date-parts":[["2007"]]},"page":"206-210","title":"Geographical indications and biodiversity in the Western Ghats, India: Can labelling benefit producers and the environment in a mountain agroforestry landscape?","type":"article-journal","volume":"27"},"uris":["http://www.mendeley.com/documents/?uuid=a430fe74-5b5b-4c41-87bf-e5677f11ca03"]},{"id":"ITEM-4","itemData":{"DOI":"10.22198/rys.2011.51.a53","ISSN":"1870-3925","abstract":"El agave azul (Agave tequilana Weber) es un cultivo nuevo para la cuenca del río Ayuquila en la Costa Sur de Jalisco, y es importante para su progreso agropecuario. Sin embargo, se observan efectos socioambientales negativos. Desde 2003 se han estudiado las condiciones del cultivo y su expansión, así como alternativas posibles. Los resultados muestran un crecimiento acelerado desde su introducción, a mitad de la década de 1990. Se destaca una concentración de propietarios privados y a través de contratos. Si bien sembrar esta planta puede ser redituable, las tendencias cíclicas de sobreproducción y escasez han originado una falta de incentivos para hacerlo y un deterioro de la capacidad productiva. Se discuten las perspectivas del avance agropecuario basado en el cultivo del agave azul, y se ofrecen algunas recomendaciones para fomentar la sustentabilidad de su sistema de producción comercial.","author":[{"dropping-particle":"","family":"Gerritsen","given":"Peter R.W.","non-dropping-particle":"","parse-names":false,"suffix":""},{"dropping-particle":"","family":"Rosales Adame","given":"Jesús Juan","non-dropping-particle":"","parse-names":false,"suffix":""},{"dropping-particle":"","family":"Moreno Hernández","given":"Arturo","non-dropping-particle":"","parse-names":false,"suffix":""},{"dropping-particle":"","family":"Martínez Rivera","given":"Luis Manuel","non-dropping-particle":"","parse-names":false,"suffix":""}],"container-title":"Región Y Sociedad","id":"ITEM-4","issue":"51","issued":{"date-parts":[["2015"]]},"title":"Agave azul y el desarrollo sustentable en la cuenca baja del río Ayuquila, Costa Sur de Jalisco (1994-2004)","type":"article-journal","volume":"23"},"uris":["http://www.mendeley.com/documents/?uuid=7ea3384a-b997-4fe5-a568-167b21111ba5"]},{"id":"ITEM-5","itemData":{"DOI":"10.13128/Aestimum-23970","ISSN":"17242118","abstract":"Apulia is the fifth Italian region in terms of irrigated area and irrigation water used in agriculture. However, inefficiencies in the management of the regional irrigation consortia force most of farmers to use groundwater by private wells, with negative consequences on soil and crop characteristics, and with grave desertification risk. In the first instance, through a choice experiment survey, the study investigated the aptitude of the regional farmers toward the abandonment of their farm wells in exchange for an improved consortium irrigation network and additional services. Then, through a stochastic profit frontier, the impact of these choices was assessed on the economic performance of farms, providing useful information for suitable and fair groundwater preservation policies.","author":[{"dropping-particle":"","family":"Sardaro","given":"Ruggiero","non-dropping-particle":"","parse-names":false,"suffix":""},{"dropping-particle":"","family":"Bozzo","given":"Francesco","non-dropping-particle":"","parse-names":false,"suffix":""},{"dropping-particle":"","family":"Fucilli","given":"Vincenzo","non-dropping-particle":"","parse-names":false,"suffix":""}],"container-title":"Aestimum","id":"ITEM-5","issued":{"date-parts":[["2018"]]},"page":"81-107","title":"The choice experiment and the stochastic profit frontier: A methodological approach for groundwater preservation policies","type":"article-journal","volume":"72"},"uris":["http://www.mendeley.com/documents/?uuid=6767fcf1-bf80-49cc-9b62-d68456d62e6a"]},{"id":"ITEM-6","itemData":{"DOI":"10.1080/08039410.2014.901239","ISSN":"08039410","abstract":"This article addresses the intertwining and co-production of normative and technological strands in the politics of natural resource extraction. It explores how the integration of a forest resource in the global economy by means of normative and technological appropriation is associated with the delegation of responsibility for its conservation and the sustainability of its extraction management to local-use rights holders. In the process, such entanglements involve the commodification of a local staple as a niche product exploitable on a global scale. The transformation of the access rights of local people into responsibilities is addressed as an implicit form of de facto soft land and resource grabbing (e.g. Zoomers 2010; Sassen 2013; Seufert 2013). This article aims to contribute to the ongoing debate around forms of accumulation by dispossession (Harvey 2003; Kelly 2011; Corson 2011). The specific case study involves the emergence of argan oil on the world market. © 2014 © 2014 Max Planck Institute for Social Anthropology.","author":[{"dropping-particle":"","family":"Turner","given":"Bertram","non-dropping-particle":"","parse-names":false,"suffix":""}],"container-title":"Forum for Development Studies","id":"ITEM-6","issue":"2","issued":{"date-parts":[["2014"]]},"page":"207-232","title":"Neoliberal politics of resource extraction: Moroccan argan oil","type":"article-journal","volume":"41"},"uris":["http://www.mendeley.com/documents/?uuid=14568465-2b80-4c16-8c83-99f84422d64f"]},{"id":"ITEM-7","itemData":{"DOI":"10.1080/13549830903406057","ISSN":"13549839","abstract":"Protected designations of origin (PDOs) and protected geographical indications (PGIs) are an important aspect of the recent turn towards quality agri-food products in the EU. However, their actual impact on rural development is not clear. This paper contributes to the debate over the impact of PDOs and PGIs by focusing on Ladotyri Mytilinis PDO, a cheese produced exclusively on Lesvos island, Greece. The socio-economic and environmental impact of Ladotyri Mytilinis PDO is based on findings from two field researches. Secondary data by the National Statistical Service of Greece and by other sources are also used. According to the findings the impact of Ladotyri Mytilinis PDO cheese, and of its various actors that construct its supply chain, is on the one hand very important for Lesvos island but on the other hand not radically different when compared to the impact of Graviera, a close substitute and non-PDO cheese, which is also produced in the area by the same actors. © Taylor &amp; Francis.","author":[{"dropping-particle":"","family":"Vakoufaris","given":"Hristos","non-dropping-particle":"","parse-names":false,"suffix":""}],"container-title":"Local Environment","id":"ITEM-7","issue":"1","issued":{"date-parts":[["2010"]]},"page":"27-41","title":"The impact of ladotyri mytilinis PDO cheese on the rural development of Lesvos Island, Greece","type":"article-journal","volume":"15"},"uris":["http://www.mendeley.com/documents/?uuid=e719cf24-a7ac-4416-943d-34123a3ea885"]},{"id":"ITEM-8","itemData":{"abstract":"La notion d'Indication Géographique $\\$(IG$\\$) exposée par l'Organisation mondiale du commerce, identifie les lignes directrices spécifiques de qualité et protège les aliments, boissons et autres produits de la concurrence, en fonction de leur origine géographique ou lieu spécifique. Au Mexique, les IG sont connues comme Dénominations d'Origine $\\$(DO$\\$), et en 1974, la téquila a été reconnue comme le premier produit mexicain de DO. En 1994, le gouvernement mexicain a créé une DO pour la catégorie des boissons d'agave distillé, le mezcal. Dans l'État de Jalisco, au Mexique, il existe plusieurs types de mezcal, mais quelques-uns seulement sont reconnus sous la réglementation DO. Bien que fabriqués artisanalement dans le Jalisco depuis des siècles, de nombreux mezcals, comme la raicilla, ne sont pas protégés par le système DO. Les fabricants traditionnels, qui sont souvent eux-mêmes cultivateurs d'agaves, jouent un rôle important dans le maintien des ressources écologiques de la région. Nous nous sommes intéressées à trois boissons $\\$(téquila, raicilla et mezcal$\\$), chacune produite dans le Jalisco, au Mexique, pour étudier comment les différents acteurs sociaux négocient les questions relatives à la biodiversité. En particulier, nous attirons l'attention sur les fabrications artisanales de ces boissons et les traditions humaines qui soutiennent le développement durable. De plus, nous mettons l'accent sur un ensemble d'espèces d'agaves $\\$(sauvages et cultivés$\\$), utilisés à la fois par des grands producteurs et par d'autres sur de plus petites surfaces, en tenant compte de la diversité des agaves et de leurs efforts pour se maintenir sur le marché des spiritueux. Plus précisément, nous posons les questions suivantes : Quelles sont les espèces d'agaves actuellement utilisées à la fois par les grands et les petits fabricants de téquila et de mezcal dans l'État de Jalisco? Quelles sont les conditions permettant une utilisation plus importante de biodiversité spécifique et variétale indigènes? Comme nous le montrons, les producteurs artisanaux sont plus susceptibles d'utiliser des espèces variées d'agaves dans la fabrication de leurs boissons distillées. Mais les pressions pour moderniser leurs méthodes de production menacent la diversité écologique et culturelle de ces produits du terroir.Outlined by the World Trade Organization, Geographical Indication $\\$(GI$\\$) designations identify specific quality guidelines and protect foods, drinks, and other pro…","author":[{"dropping-particle":"","family":"Zapata","given":"Ana G Valenzuela","non-dropping-particle":"","parse-names":false,"suffix":""},{"dropping-particle":"","family":"Gaytán","given":"Marie Sarita","non-dropping-particle":"","parse-names":false,"suffix":""}],"id":"ITEM-8","issued":{"date-parts":[["2019"]]},"page":"0-19","title":"Sustaining Biological and Cultural Diversity","type":"article-journal"},"uris":["http://www.mendeley.com/documents/?uuid=9d8dc832-3f29-439d-83bc-fbc001fb8f8c"]}],"mendeley":{"formattedCitation":"(BOWEN, 2010; BOWEN; ZAPATA, 2009; GARCIA &lt;i&gt;et al.&lt;/i&gt;, 2007; GERRITSEN &lt;i&gt;et al.&lt;/i&gt;, 2015; SARDARO; BOZZO; FUCILLI, 2018; TURNER, 2014; VAKOUFARIS, 2010; ZAPATA; GAYTÁN, 2019)","plainTextFormattedCitation":"(BOWEN, 2010; BOWEN; ZAPATA, 2009; GARCIA et al., 2007; GERRITSEN et al., 2015; SARDARO; BOZZO; FUCILLI, 2018; TURNER, 2014; VAKOUFARIS, 2010; ZAPATA; GAYTÁN, 2019)","previouslyFormattedCitation":"(BOWEN, 2010b; BOWEN; ZAPATA, 2009; GARCIA &lt;i&gt;et al.&lt;/i&gt;, 2007; GERRITSEN &lt;i&gt;et al.&lt;/i&gt;, 2015; SARDARO; BOZZO; FUCILLI, 2018; TURNER, 2014; VAKOUFARIS, 2010; ZAPATA; GAYTÁN, 2019)"},"properties":{"noteIndex":0},"schema":"https://github.com/citation-style-language/schema/raw/master/csl-citation.json"}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(BOWEN, 2010; BOWEN; ZAPATA, 2009; GARCIA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2007; GERRITSEN </w:t>
            </w:r>
            <w:r w:rsidRPr="001C69EC">
              <w:rPr>
                <w:rFonts w:ascii="Arial" w:eastAsia="Times New Roman" w:hAnsi="Arial" w:cs="Arial"/>
                <w:i/>
                <w:noProof/>
                <w:lang w:eastAsia="pt-BR"/>
              </w:rPr>
              <w:t>et al.</w:t>
            </w:r>
            <w:r w:rsidRPr="001C69EC">
              <w:rPr>
                <w:rFonts w:ascii="Arial" w:eastAsia="Times New Roman" w:hAnsi="Arial" w:cs="Arial"/>
                <w:noProof/>
                <w:lang w:eastAsia="pt-BR"/>
              </w:rPr>
              <w:t>, 2015; SARDARO; BOZZO; FUCILLI, 2018; TURNER, 2014; VAKOUFARIS, 2010; ZAPATA; GAYTÁN, 2019)</w:t>
            </w:r>
            <w:r w:rsidRPr="001C69EC">
              <w:rPr>
                <w:rFonts w:ascii="Arial" w:eastAsia="Times New Roman" w:hAnsi="Arial" w:cs="Arial"/>
                <w:lang w:eastAsia="pt-BR"/>
              </w:rPr>
              <w:fldChar w:fldCharType="end"/>
            </w:r>
            <w:r w:rsidRPr="001C69EC">
              <w:rPr>
                <w:rFonts w:ascii="Arial" w:eastAsia="Times New Roman" w:hAnsi="Arial" w:cs="Arial"/>
                <w:lang w:eastAsia="pt-BR"/>
              </w:rPr>
              <w:t xml:space="preserve"> </w:t>
            </w:r>
          </w:p>
        </w:tc>
      </w:tr>
      <w:tr w:rsidR="001C69EC" w:rsidRPr="001C69EC" w14:paraId="729A1994" w14:textId="77777777" w:rsidTr="00533B63">
        <w:trPr>
          <w:trHeight w:val="255"/>
        </w:trPr>
        <w:tc>
          <w:tcPr>
            <w:tcW w:w="4815" w:type="dxa"/>
            <w:noWrap/>
          </w:tcPr>
          <w:p w14:paraId="0ECE1BD1"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Diminuição da variabilidade genética e substituição das variedades locais por variedades mais produtivas, melhoradas geneticamente.</w:t>
            </w:r>
          </w:p>
        </w:tc>
        <w:tc>
          <w:tcPr>
            <w:tcW w:w="3969" w:type="dxa"/>
          </w:tcPr>
          <w:p w14:paraId="140DDB13" w14:textId="3A077124"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{"citationItems":[{"id":"ITEM-1","itemData":{"DOI":"10.1111/j.1549-0831.2009.00007.x","ISSN":"00360112","abstract":"Geographical indications (GIs) are place-based names that conveythe geographical origin, as well as the cultural and historical identity, of agricultural products. GIs are unique, in that they provide ameans of ensuring that control over production and sales of a product stays within a local area, but at the same time they make use of extralocal markets. Although control over GIs largely rests with local actors, GIs are nested in wider regional, national, and international networks; and the passage from local to extralocal markets introduces new costs and benefits and new relations of power into the supply chain. The degree to which GI protection spurs development and protects local environmental and cultural resources depends on the structure of the GI legislation and on the territorial context in which protection is embedded. Using a commodity-chains approach, I compare two GI production systems, tequila in Mexico and Comté cheese in France, in order to develop a theory of the factors that contribute to more sustainable, equitable GI production systems. I argue that three key differences in the design of the GI schemes help to explain the varying effects of the two cases: (1) the manner in which supply-chain actors define quality, (2) the way that the GI valorizes the terroir of the region, and (3) the strength and cohesion that the collective organizing body exhibits. Moreover, the institutional and political context in which GI supply chains \"touch down\" plays a critical role. Contrary to a conceptualization of GIs as compatible with a purely market-oriented model, my comparison of these two cases indicates that some level of state involvement, in order to level the playing field and empower small farmers, is a necessary, although not sufficient, precondition for successful and sustainable GIs. © 2010, by the Rural Sociological Society.","author":[{"dropping-particle":"","family":"Bowen","given":"Sarah","non-dropping-particle":"","parse-names":false,"suffix":""}],"container-title":"Rural Sociology","id":"ITEM-1","issue":"2","issued":{"date-parts":[["2010"]]},"page":"209-243","title":"Embedding local places in global spaces: Geographical indications as a territorial development strategy","type":"article-journal","volume":"75"},"uris":["http://www.mendeley.com/documents/?uuid=41288291-e66a-433d-bd5a-6912780c5c96"]},{"id":"ITEM-2","itemData":{"DOI":"10.1016/j.jrurstud.2008.07.003","ISSN":"07430167","abstract":"In this paper, we use the case of tequila to examine the potential for geographical indications (GIs) to contribute to socioeconomic and environmental sustainability. GIs are place-based names (e.g., Champagne, Roquefort) that convey the geographical origin, as well as the cultural and historical identity, of agricultural products. The GI for tequila was established by the Mexican government in 1974, making it the oldest GI, and one of the best-recognized, outside of Europe. Here, we examine the social, economic, and ecological impacts that the agave-tequila industry has had on one community in tequila's region of origin, the town of Amatitán. We show that persistent cycles of surplus and shortage of agave and changing production relations in the agave-tequila industry have led to: (1) economic insecurity among farm households; (2) increased use of chemical inputs, at the expense of more labor-intensive cultivation practices; and (3) overall declines in fertilizer application, especially during periods in which there is a surplus of agave. We argue that the negative effects of the agave-tequila industry on the local economy and environment are due to the failure of the GI for tequila to value the ways in which the terroir of tequila's region of origin have contributed to its specific properties. We conclude by using this case to discuss more generally the relationship between the protection of place-based products (known collectively as geographical indications) and social and environmental sustainability. © 2008 Elsevier Ltd. All rights reserved.","author":[{"dropping-particle":"","family":"Bowen","given":"Sarah","non-dropping-particle":"","parse-names":false,"suffix":""},{"dropping-particle":"","family":"Zapata","given":"Ana Valenzuela","non-dropping-particle":"","parse-names":false,"suffix":""}],"container-title":"Journal of Rural Studies","id":"ITEM-2","issue":"1","issued":{"date-parts":[["2009"]]},"page":"108-119","publisher":"Elsevier Ltd","title":"Geographical indications, terroir, and socioeconomic and ecological sustainability: The case of tequila","type":"article-journal","volume":"25"},"uris":["http://www.mendeley.com/documents/?uuid=3463ac19-4add-4f2f-890a-50bff2fd4dcf"]},{"id":"ITEM-3","itemData":{"DOI":"10.22198/rys.2011.51.a53","ISSN":"1870-3925","abstract":"El agave azul (Agave tequilana Weber) es un cultivo nuevo para la cuenca del río Ayuquila en la Costa Sur de Jalisco, y es importante para su progreso agropecuario. Sin embargo, se observan efectos socioambientales negativos. Desde 2003 se han estudiado las condiciones del cultivo y su expansión, así como alternativas posibles. Los resultados muestran un crecimiento acelerado desde su introducción, a mitad de la década de 1990. Se destaca una concentración de propietarios privados y a través de contratos. Si bien sembrar esta planta puede ser redituable, las tendencias cíclicas de sobreproducción y escasez han originado una falta de incentivos para hacerlo y un deterioro de la capacidad productiva. Se discuten las perspectivas del avance agropecuario basado en el cultivo del agave azul, y se ofrecen algunas recomendaciones para fomentar la sustentabilidad de su sistema de producción comercial.","author":[{"dropping-particle":"","family":"Gerritsen","given":"Peter R.W.","non-dropping-particle":"","parse-names":false,"suffix":""},{"dropping-particle":"","family":"Rosales Adame","given":"Jesús Juan","non-dropping-particle":"","parse-names":false,"suffix":""},{"dropping-particle":"","family":"Moreno Hernández","given":"Arturo","non-dropping-particle":"","parse-names":false,"suffix":""},{"dropping-particle":"","family":"Martínez Rivera","given":"Luis Manuel","non-dropping-particle":"","parse-names":false,"suffix":""}],"container-title":"Región Y Sociedad","id":"ITEM-3","issue":"51","issued":{"date-parts":[["2015"]]},"title":"Agave azul y el desarrollo sustentable en la cuenca baja del río Ayuquila, Costa Sur de Jalisco (1994-2004)","type":"article-journal","volume":"23"},"uris":["http://www.mendeley.com/documents/?uuid=7ea3384a-b997-4fe5-a568-167b21111ba5"]},{"id":"ITEM-4","itemData":{"DOI":"10.1080/08039410.2014.901239","ISSN":"08039410","abstract":"This article addresses the intertwining and co-production of normative and technological strands in the politics of natural resource extraction. It explores how the integration of a forest resource in the global economy by means of normative and technological appropriation is associated with the delegation of responsibility for its conservation and the sustainability of its extraction management to local-use rights holders. In the process, such entanglements involve the commodification of a local staple as a niche product exploitable on a global scale. The transformation of the access rights of local people into responsibilities is addressed as an implicit form of de facto soft land and resource grabbing (e.g. Zoomers 2010; Sassen 2013; Seufert 2013). This article aims to contribute to the ongoing debate around forms of accumulation by dispossession (Harvey 2003; Kelly 2011; Corson 2011). The specific case study involves the emergence of argan oil on the world market. © 2014 © 2014 Max Planck Institute for Social Anthropology.","author":[{"dropping-particle":"","family":"Turner","given":"Bertram","non-dropping-particle":"","parse-names":false,"suffix":""}],"container-title":"Forum for Development Studies","id":"ITEM-4","issue":"2","issued":{"date-parts":[["2014"]]},"page":"207-232","title":"Neoliberal politics of resource extraction: Moroccan argan oil","type":"article-journal","volume":"41"},"uris":["http://www.mendeley.com/documents/?uuid=14568465-2b80-4c16-8c83-99f84422d64f"]},{"id":"ITEM-5","itemData":{"abstract":"La notion d'Indication Géographique $\\$(IG$\\$) exposée par l'Organisation mondiale du commerce, identifie les lignes directrices spécifiques de qualité et protège les aliments, boissons et autres produits de la concurrence, en fonction de leur origine géographique ou lieu spécifique. Au Mexique, les IG sont connues comme Dénominations d'Origine $\\$(DO$\\$), et en 1974, la téquila a été reconnue comme le premier produit mexicain de DO. En 1994, le gouvernement mexicain a créé une DO pour la catégorie des boissons d'agave distillé, le mezcal. Dans l'État de Jalisco, au Mexique, il existe plusieurs types de mezcal, mais quelques-uns seulement sont reconnus sous la réglementation DO. Bien que fabriqués artisanalement dans le Jalisco depuis des siècles, de nombreux mezcals, comme la raicilla, ne sont pas protégés par le système DO. Les fabricants traditionnels, qui sont souvent eux-mêmes cultivateurs d'agaves, jouent un rôle important dans le maintien des ressources écologiques de la région. Nous nous sommes intéressées à trois boissons $\\$(téquila, raicilla et mezcal$\\$), chacune produite dans le Jalisco, au Mexique, pour étudier comment les différents acteurs sociaux négocient les questions relatives à la biodiversité. En particulier, nous attirons l'attention sur les fabrications artisanales de ces boissons et les traditions humaines qui soutiennent le développement durable. De plus, nous mettons l'accent sur un ensemble d'espèces d'agaves $\\$(sauvages et cultivés$\\$), utilisés à la fois par des grands producteurs et par d'autres sur de plus petites surfaces, en tenant compte de la diversité des agaves et de leurs efforts pour se maintenir sur le marché des spiritueux. Plus précisément, nous posons les questions suivantes : Quelles sont les espèces d'agaves actuellement utilisées à la fois par les grands et les petits fabricants de téquila et de mezcal dans l'État de Jalisco? Quelles sont les conditions permettant une utilisation plus importante de biodiversité spécifique et variétale indigènes? Comme nous le montrons, les producteurs artisanaux sont plus susceptibles d'utiliser des espèces variées d'agaves dans la fabrication de leurs boissons distillées. Mais les pressions pour moderniser leurs méthodes de production menacent la diversité écologique et culturelle de ces produits du terroir.Outlined by the World Trade Organization, Geographical Indication $\\$(GI$\\$) designations identify specific quality guidelines and protect foods, drinks, and other pro…","author":[{"dropping-particle":"","family":"Zapata","given":"Ana G Valenzuela","non-dropping-particle":"","parse-names":false,"suffix":""},{"dropping-particle":"","family":"Gaytán","given":"Marie Sarita","non-dropping-particle":"","parse-names":false,"suffix":""}],"id":"ITEM-5","issued":{"date-parts":[["2019"]]},"page":"0-19","title":"Sustaining Biological and Cultural Diversity","type":"article-journal"},"uris":["http://www.mendeley.com/documents/?uuid=9d8dc832-3f29-439d-83bc-fbc001fb8f8c"]}],"mendeley":{"formattedCitation":"(BOWEN, 2010; BOWEN; ZAPATA, 2009; GERRITSEN &lt;i&gt;et al.&lt;/i&gt;, 2015; TURNER, 2014; ZAPATA; GAYTÁN, 2019)","plainTextFormattedCitation":"(BOWEN, 2010; BOWEN; ZAPATA, 2009; GERRITSEN et al., 2015; TURNER, 2014; ZAPATA; GAYTÁN, 2019)","previouslyFormattedCitation":"(BOWEN, 2010b; BOWEN; ZAPATA, 2009; GERRITSEN &lt;i&gt;et al.&lt;/i&gt;, 2015; TURNER, 2014; ZAPATA; GAYTÁN, 2019)"},"properties":{"noteIndex":0},"schema":"https://github.com/citation-style-language/schema/raw/master/csl-citation.json"}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(BOWEN, 2010; BOWEN; ZAPATA, 2009; GERRITSEN </w:t>
            </w:r>
            <w:r w:rsidRPr="001C69EC">
              <w:rPr>
                <w:rFonts w:ascii="Arial" w:eastAsia="Times New Roman" w:hAnsi="Arial" w:cs="Arial"/>
                <w:i/>
                <w:noProof/>
                <w:lang w:eastAsia="pt-BR"/>
              </w:rPr>
              <w:t>et al.</w:t>
            </w:r>
            <w:r w:rsidRPr="001C69EC">
              <w:rPr>
                <w:rFonts w:ascii="Arial" w:eastAsia="Times New Roman" w:hAnsi="Arial" w:cs="Arial"/>
                <w:noProof/>
                <w:lang w:eastAsia="pt-BR"/>
              </w:rPr>
              <w:t>, 2015; TURNER, 2014; ZAPATA; GAYTÁN, 2019)</w:t>
            </w:r>
            <w:r w:rsidRPr="001C69EC">
              <w:rPr>
                <w:rFonts w:ascii="Arial" w:eastAsia="Times New Roman" w:hAnsi="Arial" w:cs="Arial"/>
                <w:lang w:eastAsia="pt-BR"/>
              </w:rPr>
              <w:fldChar w:fldCharType="end"/>
            </w:r>
            <w:r w:rsidRPr="001C69EC">
              <w:rPr>
                <w:rFonts w:ascii="Arial" w:eastAsia="Times New Roman" w:hAnsi="Arial" w:cs="Arial"/>
                <w:lang w:eastAsia="pt-BR"/>
              </w:rPr>
              <w:t xml:space="preserve"> </w:t>
            </w:r>
          </w:p>
        </w:tc>
      </w:tr>
      <w:tr w:rsidR="001C69EC" w:rsidRPr="001C69EC" w14:paraId="4664C75F" w14:textId="77777777" w:rsidTr="00533B63">
        <w:trPr>
          <w:trHeight w:val="255"/>
        </w:trPr>
        <w:tc>
          <w:tcPr>
            <w:tcW w:w="4815" w:type="dxa"/>
            <w:noWrap/>
          </w:tcPr>
          <w:p w14:paraId="1CD42D04"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Diminuição dos cuidados com a fertilidade do solo (abandono de prática como a utilização de adubos naturais, períodos de pousio e rotação de culturas).</w:t>
            </w:r>
          </w:p>
        </w:tc>
        <w:tc>
          <w:tcPr>
            <w:tcW w:w="3969" w:type="dxa"/>
          </w:tcPr>
          <w:p w14:paraId="12CFBBD0" w14:textId="0AAE5CCD"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{"citationItems":[{"id":"ITEM-1","itemData":{"DOI":"10.1111/j.1549-0831.2009.00007.x","ISSN":"00360112","abstract":"Geographical indications (GIs) are place-based names that conveythe geographical origin, as well as the cultural and historical identity, of agricultural products. GIs are unique, in that they provide ameans of ensuring that control over production and sales of a product stays within a local area, but at the same time they make use of extralocal markets. Although control over GIs largely rests with local actors, GIs are nested in wider regional, national, and international networks; and the passage from local to extralocal markets introduces new costs and benefits and new relations of power into the supply chain. The degree to which GI protection spurs development and protects local environmental and cultural resources depends on the structure of the GI legislation and on the territorial context in which protection is embedded. Using a commodity-chains approach, I compare two GI production systems, tequila in Mexico and Comté cheese in France, in order to develop a theory of the factors that contribute to more sustainable, equitable GI production systems. I argue that three key differences in the design of the GI schemes help to explain the varying effects of the two cases: (1) the manner in which supply-chain actors define quality, (2) the way that the GI valorizes the terroir of the region, and (3) the strength and cohesion that the collective organizing body exhibits. Moreover, the institutional and political context in which GI supply chains \"touch down\" plays a critical role. Contrary to a conceptualization of GIs as compatible with a purely market-oriented model, my comparison of these two cases indicates that some level of state involvement, in order to level the playing field and empower small farmers, is a necessary, although not sufficient, precondition for successful and sustainable GIs. © 2010, by the Rural Sociological Society.","author":[{"dropping-particle":"","family":"Bowen","given":"Sarah","non-dropping-particle":"","parse-names":false,"suffix":""}],"container-title":"Rural Sociology","id":"ITEM-1","issue":"2","issued":{"date-parts":[["2010"]]},"page":"209-243","title":"Embedding local places in global spaces: Geographical indications as a territorial development strategy","type":"article-journal","volume":"75"},"uris":["http://www.mendeley.com/documents/?uuid=41288291-e66a-433d-bd5a-6912780c5c96"]},{"id":"ITEM-2","itemData":{"DOI":"10.1016/j.jrurstud.2008.07.003","ISSN":"07430167","abstract":"In this paper, we use the case of tequila to examine the potential for geographical indications (GIs) to contribute to socioeconomic and environmental sustainability. GIs are place-based names (e.g., Champagne, Roquefort) that convey the geographical origin, as well as the cultural and historical identity, of agricultural products. The GI for tequila was established by the Mexican government in 1974, making it the oldest GI, and one of the best-recognized, outside of Europe. Here, we examine the social, economic, and ecological impacts that the agave-tequila industry has had on one community in tequila's region of origin, the town of Amatitán. We show that persistent cycles of surplus and shortage of agave and changing production relations in the agave-tequila industry have led to: (1) economic insecurity among farm households; (2) increased use of chemical inputs, at the expense of more labor-intensive cultivation practices; and (3) overall declines in fertilizer application, especially during periods in which there is a surplus of agave. We argue that the negative effects of the agave-tequila industry on the local economy and environment are due to the failure of the GI for tequila to value the ways in which the terroir of tequila's region of origin have contributed to its specific properties. We conclude by using this case to discuss more generally the relationship between the protection of place-based products (known collectively as geographical indications) and social and environmental sustainability. © 2008 Elsevier Ltd. All rights reserved.","author":[{"dropping-particle":"","family":"Bowen","given":"Sarah","non-dropping-particle":"","parse-names":false,"suffix":""},{"dropping-particle":"","family":"Zapata","given":"Ana Valenzuela","non-dropping-particle":"","parse-names":false,"suffix":""}],"container-title":"Journal of Rural Studies","id":"ITEM-2","issue":"1","issued":{"date-parts":[["2009"]]},"page":"108-119","publisher":"Elsevier Ltd","title":"Geographical indications, terroir, and socioeconomic and ecological sustainability: The case of tequila","type":"article-journal","volume":"25"},"uris":["http://www.mendeley.com/documents/?uuid=3463ac19-4add-4f2f-890a-50bff2fd4dcf"]},{"id":"ITEM-3","itemData":{"DOI":"10.22198/rys.2011.51.a53","ISSN":"1870-3925","abstract":"El agave azul (Agave tequilana Weber) es un cultivo nuevo para la cuenca del río Ayuquila en la Costa Sur de Jalisco, y es importante para su progreso agropecuario. Sin embargo, se observan efectos socioambientales negativos. Desde 2003 se han estudiado las condiciones del cultivo y su expansión, así como alternativas posibles. Los resultados muestran un crecimiento acelerado desde su introducción, a mitad de la década de 1990. Se destaca una concentración de propietarios privados y a través de contratos. Si bien sembrar esta planta puede ser redituable, las tendencias cíclicas de sobreproducción y escasez han originado una falta de incentivos para hacerlo y un deterioro de la capacidad productiva. Se discuten las perspectivas del avance agropecuario basado en el cultivo del agave azul, y se ofrecen algunas recomendaciones para fomentar la sustentabilidad de su sistema de producción comercial.","author":[{"dropping-particle":"","family":"Gerritsen","given":"Peter R.W.","non-dropping-particle":"","parse-names":false,"suffix":""},{"dropping-particle":"","family":"Rosales Adame","given":"Jesús Juan","non-dropping-particle":"","parse-names":false,"suffix":""},{"dropping-particle":"","family":"Moreno Hernández","given":"Arturo","non-dropping-particle":"","parse-names":false,"suffix":""},{"dropping-particle":"","family":"Martínez Rivera","given":"Luis Manuel","non-dropping-particle":"","parse-names":false,"suffix":""}],"container-title":"Región Y Sociedad","id":"ITEM-3","issue":"51","issued":{"date-parts":[["2015"]]},"title":"Agave azul y el desarrollo sustentable en la cuenca baja del río Ayuquila, Costa Sur de Jalisco (1994-2004)","type":"article-journal","volume":"23"},"uris":["http://www.mendeley.com/documents/?uuid=7ea3384a-b997-4fe5-a568-167b21111ba5"]},{"id":"ITEM-4","itemData":{"abstract":"La notion d'Indication Géographique $\\$(IG$\\$) exposée par l'Organisation mondiale du commerce, identifie les lignes directrices spécifiques de qualité et protège les aliments, boissons et autres produits de la concurrence, en fonction de leur origine géographique ou lieu spécifique. Au Mexique, les IG sont connues comme Dénominations d'Origine $\\$(DO$\\$), et en 1974, la téquila a été reconnue comme le premier produit mexicain de DO. En 1994, le gouvernement mexicain a créé une DO pour la catégorie des boissons d'agave distillé, le mezcal. Dans l'État de Jalisco, au Mexique, il existe plusieurs types de mezcal, mais quelques-uns seulement sont reconnus sous la réglementation DO. Bien que fabriqués artisanalement dans le Jalisco depuis des siècles, de nombreux mezcals, comme la raicilla, ne sont pas protégés par le système DO. Les fabricants traditionnels, qui sont souvent eux-mêmes cultivateurs d'agaves, jouent un rôle important dans le maintien des ressources écologiques de la région. Nous nous sommes intéressées à trois boissons $\\$(téquila, raicilla et mezcal$\\$), chacune produite dans le Jalisco, au Mexique, pour étudier comment les différents acteurs sociaux négocient les questions relatives à la biodiversité. En particulier, nous attirons l'attention sur les fabrications artisanales de ces boissons et les traditions humaines qui soutiennent le développement durable. De plus, nous mettons l'accent sur un ensemble d'espèces d'agaves $\\$(sauvages et cultivés$\\$), utilisés à la fois par des grands producteurs et par d'autres sur de plus petites surfaces, en tenant compte de la diversité des agaves et de leurs efforts pour se maintenir sur le marché des spiritueux. Plus précisément, nous posons les questions suivantes : Quelles sont les espèces d'agaves actuellement utilisées à la fois par les grands et les petits fabricants de téquila et de mezcal dans l'État de Jalisco? Quelles sont les conditions permettant une utilisation plus importante de biodiversité spécifique et variétale indigènes? Comme nous le montrons, les producteurs artisanaux sont plus susceptibles d'utiliser des espèces variées d'agaves dans la fabrication de leurs boissons distillées. Mais les pressions pour moderniser leurs méthodes de production menacent la diversité écologique et culturelle de ces produits du terroir.Outlined by the World Trade Organization, Geographical Indication $\\$(GI$\\$) designations identify specific quality guidelines and protect foods, drinks, and other pro…","author":[{"dropping-particle":"","family":"Zapata","given":"Ana G Valenzuela","non-dropping-particle":"","parse-names":false,"suffix":""},{"dropping-particle":"","family":"Gaytán","given":"Marie Sarita","non-dropping-particle":"","parse-names":false,"suffix":""}],"id":"ITEM-4","issued":{"date-parts":[["2019"]]},"page":"0-19","title":"Sustaining Biological and Cultural Diversity","type":"article-journal"},"uris":["http://www.mendeley.com/documents/?uuid=9d8dc832-3f29-439d-83bc-fbc001fb8f8c"]}],"mendeley":{"formattedCitation":"(BOWEN, 2010; BOWEN; ZAPATA, 2009; GERRITSEN &lt;i&gt;et al.&lt;/i&gt;, 2015; ZAPATA; GAYTÁN, 2019)","plainTextFormattedCitation":"(BOWEN, 2010; BOWEN; ZAPATA, 2009; GERRITSEN et al., 2015; ZAPATA; GAYTÁN, 2019)","previouslyFormattedCitation":"(BOWEN, 2010b; BOWEN; ZAPATA, 2009; GERRITSEN &lt;i&gt;et al.&lt;/i&gt;, 2015; ZAPATA; GAYTÁN, 2019)"},"properties":{"noteIndex":0},"schema":"https://github.com/citation-style-language/schema/raw/master/csl-citation.json"}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(BOWEN, 2010; BOWEN; ZAPATA, 2009; GERRITSEN </w:t>
            </w:r>
            <w:r w:rsidRPr="001C69EC">
              <w:rPr>
                <w:rFonts w:ascii="Arial" w:eastAsia="Times New Roman" w:hAnsi="Arial" w:cs="Arial"/>
                <w:i/>
                <w:noProof/>
                <w:lang w:eastAsia="pt-BR"/>
              </w:rPr>
              <w:t>et al.</w:t>
            </w:r>
            <w:r w:rsidRPr="001C69EC">
              <w:rPr>
                <w:rFonts w:ascii="Arial" w:eastAsia="Times New Roman" w:hAnsi="Arial" w:cs="Arial"/>
                <w:noProof/>
                <w:lang w:eastAsia="pt-BR"/>
              </w:rPr>
              <w:t>, 2015; ZAPATA; GAYTÁN, 2019)</w:t>
            </w:r>
            <w:r w:rsidRPr="001C69EC">
              <w:rPr>
                <w:rFonts w:ascii="Arial" w:eastAsia="Times New Roman" w:hAnsi="Arial" w:cs="Arial"/>
                <w:lang w:eastAsia="pt-BR"/>
              </w:rPr>
              <w:fldChar w:fldCharType="end"/>
            </w:r>
          </w:p>
        </w:tc>
      </w:tr>
      <w:tr w:rsidR="001C69EC" w:rsidRPr="001C69EC" w14:paraId="1BD32FC0" w14:textId="77777777" w:rsidTr="00533B63">
        <w:trPr>
          <w:trHeight w:val="255"/>
        </w:trPr>
        <w:tc>
          <w:tcPr>
            <w:tcW w:w="4815" w:type="dxa"/>
            <w:noWrap/>
            <w:hideMark/>
          </w:tcPr>
          <w:p w14:paraId="234152D1"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Degradação dos recursos hídricos, com aumento da poluição e uso de água subterrânea para irrigação, aumentando o risco de desertificação.</w:t>
            </w:r>
          </w:p>
        </w:tc>
        <w:tc>
          <w:tcPr>
            <w:tcW w:w="3969" w:type="dxa"/>
          </w:tcPr>
          <w:p w14:paraId="1C12E475" w14:textId="18A90D06"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{"citationItems":[{"id":"ITEM-1","itemData":{"DOI":"10.13128/Aestimum-23970","ISSN":"17242118","abstract":"Apulia is the fifth Italian region in terms of irrigated area and irrigation water used in agriculture. However, inefficiencies in the management of the regional irrigation consortia force most of farmers to use groundwater by private wells, with negative consequences on soil and crop characteristics, and with grave desertification risk. In the first instance, through a choice experiment survey, the study investigated the aptitude of the regional farmers toward the abandonment of their farm wells in exchange for an improved consortium irrigation network and additional services. Then, through a stochastic profit frontier, the impact of these choices was assessed on the economic performance of farms, providing useful information for suitable and fair groundwater preservation policies.","author":[{"dropping-particle":"","family":"Sardaro","given":"Ruggiero","non-dropping-particle":"","parse-names":false,"suffix":""},{"dropping-particle":"","family":"Bozzo","given":"Francesco","non-dropping-particle":"","parse-names":false,"suffix":""},{"dropping-particle":"","family":"Fucilli","given":"Vincenzo","non-dropping-particle":"","parse-names":false,"suffix":""}],"container-title":"Aestimum","id":"ITEM-1","issued":{"date-parts":[["2018"]]},"page":"81-107","title":"The choice experiment and the stochastic profit frontier: A methodological approach for groundwater preservation policies","type":"article-journal","volume":"72"},"uris":["http://www.mendeley.com/documents/?uuid=6767fcf1-bf80-49cc-9b62-d68456d62e6a"]}],"mendeley":{"formattedCitation":"(SARDARO; BOZZO; FUCILLI, 2018)","plainTextFormattedCitation":"(SARDARO; BOZZO; FUCILLI, 2018)","previouslyFormattedCitation":"(SARDARO; BOZZO; FUCILLI, 2018)"},"properties":{"noteIndex":0},"schema":"https://github.com/citation-style-language/schema/raw/master/csl-citation.json"}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(SARDARO; BOZZO; FUCILLI, 2018)</w:t>
            </w:r>
            <w:r w:rsidRPr="001C69EC">
              <w:rPr>
                <w:rFonts w:ascii="Arial" w:eastAsia="Times New Roman" w:hAnsi="Arial" w:cs="Arial"/>
                <w:lang w:eastAsia="pt-BR"/>
              </w:rPr>
              <w:fldChar w:fldCharType="end"/>
            </w:r>
            <w:r w:rsidRPr="001C69EC">
              <w:rPr>
                <w:rFonts w:ascii="Arial" w:eastAsia="Times New Roman" w:hAnsi="Arial" w:cs="Arial"/>
                <w:lang w:eastAsia="pt-BR"/>
              </w:rPr>
              <w:t xml:space="preserve"> </w:t>
            </w:r>
          </w:p>
        </w:tc>
      </w:tr>
      <w:tr w:rsidR="001C69EC" w:rsidRPr="001C69EC" w14:paraId="2C0E797A" w14:textId="77777777" w:rsidTr="00533B63">
        <w:trPr>
          <w:trHeight w:val="255"/>
        </w:trPr>
        <w:tc>
          <w:tcPr>
            <w:tcW w:w="4815" w:type="dxa"/>
            <w:noWrap/>
          </w:tcPr>
          <w:p w14:paraId="0FDBAB06"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Superexploração do recurso natural alvo da IG (com diminuição das populações vegetais nativas).</w:t>
            </w:r>
          </w:p>
        </w:tc>
        <w:tc>
          <w:tcPr>
            <w:tcW w:w="3969" w:type="dxa"/>
          </w:tcPr>
          <w:p w14:paraId="793CC996" w14:textId="1E108233"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{"citationItems":[{"id":"ITEM-1","itemData":{"DOI":"10.1080/08039410.2014.901239","ISSN":"08039410","abstract":"This article addresses the intertwining and co-production of normative and technological strands in the politics of natural resource extraction. It explores how the integration of a forest resource in the global economy by means of normative and technological appropriation is associated with the delegation of responsibility for its conservation and the sustainability of its extraction management to local-use rights holders. In the process, such entanglements involve the commodification of a local staple as a niche product exploitable on a global scale. The transformation of the access rights of local people into responsibilities is addressed as an implicit form of de facto soft land and resource grabbing (e.g. Zoomers 2010; Sassen 2013; Seufert 2013). This article aims to contribute to the ongoing debate around forms of accumulation by dispossession (Harvey 2003; Kelly 2011; Corson 2011). The specific case study involves the emergence of argan oil on the world market. © 2014 © 2014 Max Planck Institute for Social Anthropology.","author":[{"dropping-particle":"","family":"Turner","given":"Bertram","non-dropping-particle":"","parse-names":false,"suffix":""}],"container-title":"Forum for Development Studies","id":"ITEM-1","issue":"2","issued":{"date-parts":[["2014"]]},"page":"207-232","title":"Neoliberal politics of resource extraction: Moroccan argan oil","type":"article-journal","volume":"41"},"uris":["http://www.mendeley.com/documents/?uuid=14568465-2b80-4c16-8c83-99f84422d64f"]}],"mendeley":{"formattedCitation":"(TURNER, 2014)","plainTextFormattedCitation":"(TURNER, 2014)","previouslyFormattedCitation":"(TURNER, 2014)"},"properties":{"noteIndex":0},"schema":"https://github.com/citation-style-language/schema/raw/master/csl-citation.json"}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(TURNER, 2014)</w:t>
            </w:r>
            <w:r w:rsidRPr="001C69EC">
              <w:rPr>
                <w:rFonts w:ascii="Arial" w:eastAsia="Times New Roman" w:hAnsi="Arial" w:cs="Arial"/>
                <w:lang w:eastAsia="pt-BR"/>
              </w:rPr>
              <w:fldChar w:fldCharType="end"/>
            </w:r>
          </w:p>
        </w:tc>
      </w:tr>
      <w:tr w:rsidR="001C69EC" w:rsidRPr="001C69EC" w14:paraId="0C30C940" w14:textId="77777777" w:rsidTr="00533B63">
        <w:trPr>
          <w:trHeight w:val="255"/>
        </w:trPr>
        <w:tc>
          <w:tcPr>
            <w:tcW w:w="4815" w:type="dxa"/>
            <w:noWrap/>
          </w:tcPr>
          <w:p w14:paraId="42570C12" w14:textId="77777777"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t>Tendência de desmatamento, à despeito da existência da IG, para cultivos não associados à IG.</w:t>
            </w:r>
          </w:p>
        </w:tc>
        <w:tc>
          <w:tcPr>
            <w:tcW w:w="3969" w:type="dxa"/>
          </w:tcPr>
          <w:p w14:paraId="2076E4B5" w14:textId="034C6991" w:rsidR="001C69EC" w:rsidRPr="001C69EC" w:rsidRDefault="001C69EC" w:rsidP="00533B63">
            <w:pPr>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{"citationItems":[{"id":"ITEM-1","itemData":{"DOI":"10.1659/mrd.0922","ISSN":"02764741","abstract":"A geographical indication (GI) is a form of protection highlighted in the Trade Related Aspects of Intellectual Property Rights (TRIPS) Agreement of the World Trade Organization (WTO). It protects intangible economic assets such as the quality and reputation of a product through market differentiation. It is considered a promising tool at the international level to maintain multifunctionality in rural landscapes and involve local populations in biodiversity management and conservation. Using the example of an existing GI for Coorg orange, a crop frequently associated with coffee agroforestry systems in the mountain region of Kodagu (Western Ghats, India), we discuss how a GI can successfully used by local producers and what conditions are needed for it to have a positive impact on the landscape and its associated biodiversity.","author":[{"dropping-particle":"","family":"Garcia","given":"Claude","non-dropping-particle":"","parse-names":false,"suffix":""},{"dropping-particle":"","family":"Marie-Vivien","given":"Delphine","non-dropping-particle":"","parse-names":false,"suffix":""},{"dropping-particle":"","family":"Kushalappa","given":"Chepudira G.","non-dropping-particle":"","parse-names":false,"suffix":""},{"dropping-particle":"","family":"Chengappa","given":"P. G.","non-dropping-particle":"","parse-names":false,"suffix":""},{"dropping-particle":"","family":"Nanaya","given":"K. M.","non-dropping-particle":"","parse-names":false,"suffix":""}],"container-title":"Mountain Research and Development","id":"ITEM-1","issue":"3","issued":{"date-parts":[["2007"]]},"page":"206-210","title":"Geographical indications and biodiversity in the Western Ghats, India: Can labelling benefit producers and the environment in a mountain agroforestry landscape?","type":"article-journal","volume":"27"},"uris":["http://www.mendeley.com/documents/?uuid=a430fe74-5b5b-4c41-87bf-e5677f11ca03"]}],"mendeley":{"formattedCitation":"(GARCIA &lt;i&gt;et al.&lt;/i&gt;, 2007)","plainTextFormattedCitation":"(GARCIA et al., 2007)","previouslyFormattedCitation":"(GARCIA &lt;i&gt;et al.&lt;/i&gt;, 2007)"},"properties":{"noteIndex":0},"schema":"https://github.com/citation-style-language/schema/raw/master/csl-citation.json"}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(GARCIA </w:t>
            </w:r>
            <w:r w:rsidRPr="001C69EC">
              <w:rPr>
                <w:rFonts w:ascii="Arial" w:eastAsia="Times New Roman" w:hAnsi="Arial" w:cs="Arial"/>
                <w:i/>
                <w:noProof/>
                <w:lang w:eastAsia="pt-BR"/>
              </w:rPr>
              <w:t>et al.</w:t>
            </w:r>
            <w:r w:rsidRPr="001C69EC">
              <w:rPr>
                <w:rFonts w:ascii="Arial" w:eastAsia="Times New Roman" w:hAnsi="Arial" w:cs="Arial"/>
                <w:noProof/>
                <w:lang w:eastAsia="pt-BR"/>
              </w:rPr>
              <w:t>, 2007)</w:t>
            </w:r>
            <w:r w:rsidRPr="001C69EC">
              <w:rPr>
                <w:rFonts w:ascii="Arial" w:eastAsia="Times New Roman" w:hAnsi="Arial" w:cs="Arial"/>
                <w:lang w:eastAsia="pt-BR"/>
              </w:rPr>
              <w:fldChar w:fldCharType="end"/>
            </w:r>
          </w:p>
        </w:tc>
      </w:tr>
    </w:tbl>
    <w:p w14:paraId="46A55964" w14:textId="7B234D89" w:rsidR="001C69EC" w:rsidRDefault="001C69EC" w:rsidP="001C69EC">
      <w:pPr>
        <w:jc w:val="both"/>
        <w:rPr>
          <w:rFonts w:ascii="Arial" w:hAnsi="Arial" w:cs="Arial"/>
          <w:color w:val="000000"/>
        </w:rPr>
      </w:pPr>
      <w:r w:rsidRPr="001C69EC">
        <w:rPr>
          <w:rFonts w:ascii="Arial" w:hAnsi="Arial" w:cs="Arial"/>
          <w:color w:val="000000"/>
        </w:rPr>
        <w:t>Fonte: autoria própria, 2020</w:t>
      </w:r>
    </w:p>
    <w:p w14:paraId="146269E6" w14:textId="77777777" w:rsidR="001C69EC" w:rsidRPr="001C69EC" w:rsidRDefault="001C69EC" w:rsidP="001C69EC">
      <w:pPr>
        <w:jc w:val="both"/>
        <w:rPr>
          <w:rFonts w:ascii="Arial" w:hAnsi="Arial" w:cs="Arial"/>
          <w:color w:val="000000"/>
        </w:rPr>
      </w:pPr>
    </w:p>
    <w:p w14:paraId="27EEB326" w14:textId="71289329" w:rsidR="001C69EC" w:rsidRPr="001C69EC" w:rsidRDefault="001C69EC" w:rsidP="001C69EC">
      <w:pPr>
        <w:jc w:val="both"/>
        <w:rPr>
          <w:rFonts w:ascii="Arial" w:hAnsi="Arial" w:cs="Arial"/>
          <w:color w:val="000000"/>
        </w:rPr>
      </w:pPr>
      <w:r w:rsidRPr="001C69EC">
        <w:rPr>
          <w:rFonts w:ascii="Arial" w:hAnsi="Arial" w:cs="Arial"/>
          <w:b/>
          <w:bCs/>
          <w:color w:val="000000"/>
        </w:rPr>
        <w:t>Quadro 2</w:t>
      </w:r>
      <w:r w:rsidRPr="001C69EC">
        <w:rPr>
          <w:rFonts w:ascii="Arial" w:hAnsi="Arial" w:cs="Arial"/>
          <w:color w:val="000000"/>
        </w:rPr>
        <w:t xml:space="preserve"> – Fatores condicionantes dos efeitos ambientais das IGs apontados nos estudos analisados.</w:t>
      </w:r>
    </w:p>
    <w:tbl>
      <w:tblPr>
        <w:tblStyle w:val="Tabelacomgrade"/>
        <w:tblW w:w="8784" w:type="dxa"/>
        <w:tblLook w:val="04A0" w:firstRow="1" w:lastRow="0" w:firstColumn="1" w:lastColumn="0" w:noHBand="0" w:noVBand="1"/>
      </w:tblPr>
      <w:tblGrid>
        <w:gridCol w:w="6222"/>
        <w:gridCol w:w="2562"/>
      </w:tblGrid>
      <w:tr w:rsidR="001C69EC" w:rsidRPr="001C69EC" w14:paraId="51621B1A" w14:textId="77777777" w:rsidTr="001C69EC">
        <w:trPr>
          <w:trHeight w:val="255"/>
        </w:trPr>
        <w:tc>
          <w:tcPr>
            <w:tcW w:w="6222" w:type="dxa"/>
            <w:shd w:val="clear" w:color="auto" w:fill="D0CECE" w:themeFill="background2" w:themeFillShade="E6"/>
            <w:noWrap/>
          </w:tcPr>
          <w:p w14:paraId="0B5B7B92" w14:textId="77777777" w:rsidR="001C69EC" w:rsidRPr="001C69EC" w:rsidRDefault="001C69EC" w:rsidP="00533B63">
            <w:pPr>
              <w:jc w:val="both"/>
              <w:rPr>
                <w:rFonts w:ascii="Arial" w:hAnsi="Arial" w:cs="Arial"/>
                <w:b/>
                <w:bCs/>
              </w:rPr>
            </w:pPr>
            <w:r w:rsidRPr="001C69EC">
              <w:rPr>
                <w:rFonts w:ascii="Arial" w:hAnsi="Arial" w:cs="Arial"/>
                <w:b/>
                <w:bCs/>
              </w:rPr>
              <w:t xml:space="preserve">Condicionantes dos efeitos ambientais das IGs </w:t>
            </w:r>
          </w:p>
        </w:tc>
        <w:tc>
          <w:tcPr>
            <w:tcW w:w="2562" w:type="dxa"/>
            <w:shd w:val="clear" w:color="auto" w:fill="D0CECE" w:themeFill="background2" w:themeFillShade="E6"/>
          </w:tcPr>
          <w:p w14:paraId="4FA03D72" w14:textId="77777777" w:rsidR="001C69EC" w:rsidRPr="001C69EC" w:rsidRDefault="001C69EC" w:rsidP="00533B63">
            <w:pPr>
              <w:jc w:val="both"/>
              <w:rPr>
                <w:rFonts w:ascii="Arial" w:hAnsi="Arial" w:cs="Arial"/>
                <w:b/>
                <w:bCs/>
              </w:rPr>
            </w:pPr>
            <w:r w:rsidRPr="001C69EC">
              <w:rPr>
                <w:rFonts w:ascii="Arial" w:hAnsi="Arial" w:cs="Arial"/>
                <w:b/>
                <w:bCs/>
              </w:rPr>
              <w:t>Referências</w:t>
            </w:r>
          </w:p>
        </w:tc>
      </w:tr>
      <w:tr w:rsidR="001C69EC" w:rsidRPr="001C69EC" w14:paraId="16F16494" w14:textId="77777777" w:rsidTr="001C69EC">
        <w:trPr>
          <w:trHeight w:val="255"/>
        </w:trPr>
        <w:tc>
          <w:tcPr>
            <w:tcW w:w="6222" w:type="dxa"/>
            <w:noWrap/>
          </w:tcPr>
          <w:p w14:paraId="3BB6825F" w14:textId="77777777" w:rsidR="001C69EC" w:rsidRPr="001C69EC" w:rsidRDefault="001C69EC" w:rsidP="00533B63">
            <w:pPr>
              <w:jc w:val="both"/>
              <w:rPr>
                <w:rFonts w:ascii="Arial" w:hAnsi="Arial" w:cs="Arial"/>
              </w:rPr>
            </w:pPr>
            <w:r w:rsidRPr="001C69EC">
              <w:rPr>
                <w:rFonts w:ascii="Arial" w:hAnsi="Arial" w:cs="Arial"/>
              </w:rPr>
              <w:lastRenderedPageBreak/>
              <w:t xml:space="preserve">Governança territorial; organização social para efetivar a participação e ação coletiva na construção e gestão da IG; processos de negociação que envolvem diferentes atores sociais; existência de arranjos institucionais entre múltiplos setores; prevenção contra a interferência negativa de dinâmicas globais nos arranjos locais. </w:t>
            </w:r>
          </w:p>
        </w:tc>
        <w:tc>
          <w:tcPr>
            <w:tcW w:w="2562" w:type="dxa"/>
          </w:tcPr>
          <w:p w14:paraId="63B44CC1" w14:textId="1CBFF900" w:rsidR="001C69EC" w:rsidRPr="001C69EC" w:rsidRDefault="001C69EC" w:rsidP="00533B63">
            <w:pPr>
              <w:jc w:val="both"/>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{"citationItems":[{"id":"ITEM-1","itemData":{"DOI":"10.1080/13504630.2017.1291090","ISSN":"13630296","abstract":"This article examines social mobilisation against coal seam gas and coal mining in country New South Wales. While environmental concerns are one of the motivations behind recent mobilisations, the alliances that are emerging bring together groups with a diversity of interests and ideological orientation. Disappointment with political elites and concerns with lack of transparency and public accountability, are setting the foundations for new forms of grassroots collaboration. Against the widespread notion of depoliticisation in Western liberal democracies, I argue that the growth in community mobilisation in country Australia reveals a more dynamic relationship with politics, one that requires differentiating the more rigid spaces within political institutions, from the political field more broadly.","author":[{"dropping-particle":"","family":"Arashiro","given":"Zuleika","non-dropping-particle":"","parse-names":false,"suffix":""}],"container-title":"Social Identities","id":"ITEM-1","issue":"6","issued":{"date-parts":[["2017"]]},"page":"661-673","publisher":"Taylor &amp; Francis","title":"Mining, social contestation and the reclaiming of voice in Australia’s democracy","type":"article-journal","volume":"23"},"uris":["http://www.mendeley.com/documents/?uuid=f6e231cc-0e30-4b4f-b788-86fbe77d1f23"]},{"id":"ITEM-2","itemData":{"ISSN":"0264-8377","abstract":"&lt;p&gt;•Environmental rules of 107 EU olive-oil geographical indications (GI) are analyzed.•Environmental concerns are not very explicitly considered in Product Specifications.•There appears to exist a ‘greening’ of Product Specifications over time.•Protected GIs play environmentally positive roles, albeit indirectly in many cases.•Public policies can strengthen the environmental role of Protected GIs.&lt;/p&gt; &lt;p&gt;The link between food and the environment constitutes a core issue from the consumer’s point of view and in the political debate. Geographical indication products, due to their association with specific territories and links to specific local resources, can improve economic, social and environmental sustainability.&lt;/p&gt; &lt;p&gt;The present paper investigates the relationship between the legal protection of geographical indications and the environment, analyzing the Product Specifications of the 107 olive-oil geographical indications registered in the European Union....","author":[{"dropping-particle":"","family":"Belletti","given":"Giovanni","non-dropping-particle":"","parse-names":false,"suffix":""},{"dropping-particle":"","family":"Marescotti","given":"Andrea","non-dropping-particle":"","parse-names":false,"suffix":""},{"dropping-particle":"","family":"Sanz-Cañada","given":"Javier","non-dropping-particle":"","parse-names":false,"suffix":""},{"dropping-particle":"","family":"Vakoufaris","given":"Hristos","non-dropping-particle":"","parse-names":false,"suffix":""}],"container-title":"Land Use Policy","id":"ITEM-2","issued":{"date-parts":[["2015"]]},"page":"94-106","publisher":"Elsevier Ltd","title":"Linking protection of geographical indications to the environment: Evidence from the European Union olive-oil sector","type":"article-journal","volume":"48"},"uris":["http://www.mendeley.com/documents/?uuid=9f083e84-a627-4b3e-b020-4d731d0bebf2"]},{"id":"ITEM-3","itemData":{"DOI":"10.1111/j.1468-2451.2006.00592.x","ISSN":"00208701","abstract":"The debate and negotiations in progress at the international level concerning the protection of geographical indications (GI) are of direct interest to the local agricultural products and foodstuffs called terroir products. Beyond the protection of the use of their name, which is the founding principle of this system, and the legal and economic considerations this system implies, new questions are being raised about these products concerning the diversification of farming and sustainable development. More and more, and in a favourable context, another major issue is becoming apparent: the biological and cultural diversity linked to these products. This questioning concerns the status and the future of these local resources in our societies and whether or not GIs can help maintain this diversity. Protecting local and traditional products through the GI system can contribute to conserving biodiversity at various levels: domestic animal breeds, plant varieties, microbial ecosystems, and landscapes. This is also a way of maintaining in a formal way shared knowledge and practices, since they underpin the protected resource. Taking account of these elements offers an opportunity to think about agriculture differently and leads us to propose an innovative approach to local products. Several examples taken in France will help show how links can be established between the protection of GI, cultural biodiversity, and local knowledge. © UNESCO 2006.","author":[{"dropping-particle":"","family":"Bérard","given":"Laurence","non-dropping-particle":"","parse-names":false,"suffix":""},{"dropping-particle":"","family":"Marchenay","given":"Philippe","non-dropping-particle":"","parse-names":false,"suffix":""}],"container-title":"International Social Science Journal","id":"ITEM-3","issue":"187","issued":{"date-parts":[["2006"]]},"page":"109-116","title":"Local products and geographical indications: Taking account of local knowledge and biodiversity","type":"article-journal","volume":"58"},"uris":["http://www.mendeley.com/documents/?uuid=6dda118e-fcf2-4442-b722-01979c2097cf"]},{"id":"ITEM-4","itemData":{"DOI":"10.1111/j.1549-0831.2009.00007.x","ISSN":"00360112","abstract":"Geographical indications (GIs) are place-based names that conveythe geographical origin, as well as the cultural and historical identity, of agricultural products. GIs are unique, in that they provide ameans of ensuring that control over production and sales of a product stays within a local area, but at the same time they make use of extralocal markets. Although control over GIs largely rests with local actors, GIs are nested in wider regional, national, and international networks; and the passage from local to extralocal markets introduces new costs and benefits and new relations of power into the supply chain. The degree to which GI protection spurs development and protects local environmental and cultural resources depends on the structure of the GI legislation and on the territorial context in which protection is embedded. Using a commodity-chains approach, I compare two GI production systems, tequila in Mexico and Comté cheese in France, in order to develop a theory of the factors that contribute to more sustainable, equitable GI production systems. I argue that three key differences in the design of the GI schemes help to explain the varying effects of the two cases: (1) the manner in which supply-chain actors define quality, (2) the way that the GI valorizes the terroir of the region, and (3) the strength and cohesion that the collective organizing body exhibits. Moreover, the institutional and political context in which GI supply chains \"touch down\" plays a critical role. Contrary to a conceptualization of GIs as compatible with a purely market-oriented model, my comparison of these two cases indicates that some level of state involvement, in order to level the playing field and empower small farmers, is a necessary, although not sufficient, precondition for successful and sustainable GIs. © 2010, by the Rural Sociological Society.","author":[{"dropping-particle":"","family":"Bowen","given":"Sarah","non-dropping-particle":"","parse-names":false,"suffix":""}],"container-title":"Rural Sociology","id":"ITEM-4","issue":"2","issued":{"date-parts":[["2010"]]},"page":"209-243","title":"Embedding local places in global spaces: Geographical indications as a territorial development strategy","type":"article-journal","volume":"75"},"uris":["http://www.mendeley.com/documents/?uuid=41288291-e66a-433d-bd5a-6912780c5c96"]},{"id":"ITEM-5","itemData":{"DOI":"10.1016/j.jrurstud.2008.07.003","ISSN":"07430167","abstract":"In this paper, we use the case of tequila to examine the potential for geographical indications (GIs) to contribute to socioeconomic and environmental sustainability. GIs are place-based names (e.g., Champagne, Roquefort) that convey the geographical origin, as well as the cultural and historical identity, of agricultural products. The GI for tequila was established by the Mexican government in 1974, making it the oldest GI, and one of the best-recognized, outside of Europe. Here, we examine the social, economic, and ecological impacts that the agave-tequila industry has had on one community in tequila's region of origin, the town of Amatitán. We show that persistent cycles of surplus and shortage of agave and changing production relations in the agave-tequila industry have led to: (1) economic insecurity among farm households; (2) increased use of chemical inputs, at the expense of more labor-intensive cultivation practices; and (3) overall declines in fertilizer application, especially during periods in which there is a surplus of agave. We argue that the negative effects of the agave-tequila industry on the local economy and environment are due to the failure of the GI for tequila to value the ways in which the terroir of tequila's region of origin have contributed to its specific properties. We conclude by using this case to discuss more generally the relationship between the protection of place-based products (known collectively as geographical indications) and social and environmental sustainability. © 2008 Elsevier Ltd. All rights reserved.","author":[{"dropping-particle":"","family":"Bowen","given":"Sarah","non-dropping-particle":"","parse-names":false,"suffix":""},{"dropping-particle":"","family":"Zapata","given":"Ana Valenzuela","non-dropping-particle":"","parse-names":false,"suffix":""}],"container-title":"Journal of Rural Studies","id":"ITEM-5","issue":"1","issued":{"date-parts":[["2009"]]},"page":"108-119","publisher":"Elsevier Ltd","title":"Geographical indications, terroir, and socioeconomic and ecological sustainability: The case of tequila","type":"article-journal","volume":"25"},"uris":["http://www.mendeley.com/documents/?uuid=3463ac19-4add-4f2f-890a-50bff2fd4dcf"]},{"id":"ITEM-6","itemData":{"DOI":"10.1111/1467-9523.00159","ISSN":"00380199","abstract":"Amongst the hundreds of cases of regional specific products being produced all over Europe, the Parmigiano Reggiano cheese system can be considered one of the most eloquent, mature and successful examples avant la lettre of rural development. About 8,000 dairy farmers, cheese dairies and ripening firms comply with the strict production regulations that guarantee the specificity of this product. Employment in the Parmigiano Reggiano production system is twice as high as in the industrial dairy system and the pressure of the system on the environment is significantly lower. As Parmigiano Reggiano cheese has to compete on the same market as more industrial Grana cheeses, the system is not immune to the cost-price squeeze affecting European agriculture. The accelerated introduction of cost reducing technologies may compromise the typicality of the product, endanger its competitive position on the market and weaken its future collective performance. A convergence of views and a strong cohesion among actors is necessary to reach new agreements about the direction being taken by technological development in order to safeguard the success Parmigiano Regiano cheese has been able to generate in the past.","author":[{"dropping-particle":"","family":"Roest","given":"Kees","non-dropping-particle":"De","parse-names":false,"suffix":""},{"dropping-particle":"","family":"Menghi","given":"Alberto","non-dropping-particle":"","parse-names":false,"suffix":""}],"container-title":"Sociologia Ruralis","id":"ITEM-6","issue":"4","issued":{"date-parts":[["2000"]]},"page":"439-451","title":"Reconsidering 'traditional' food: The case of Parmigiano Reggiano cheese","type":"article-journal","volume":"40"},"uris":["http://www.mendeley.com/documents/?uuid=de4bf68f-9f0a-42bc-b2d1-8fb0916edde9"]},{"id":"ITEM-7","itemData":{"DOI":"10.1659/mrd.0922","ISSN":"02764741","abstract":"A geographical indication (GI) is a form of protection highlighted in the Trade Related Aspects of Intellectual Property Rights (TRIPS) Agreement of the World Trade Organization (WTO). It protects intangible economic assets such as the quality and reputation of a product through market differentiation. It is considered a promising tool at the international level to maintain multifunctionality in rural landscapes and involve local populations in biodiversity management and conservation. Using the example of an existing GI for Coorg orange, a crop frequently associated with coffee agroforestry systems in the mountain region of Kodagu (Western Ghats, India), we discuss how a GI can successfully used by local producers and what conditions are needed for it to have a positive impact on the landscape and its associated biodiversity.","author":[{"dropping-particle":"","family":"Garcia","given":"Claude","non-dropping-particle":"","parse-names":false,"suffix":""},{"dropping-particle":"","family":"Marie-Vivien","given":"Delphine","non-dropping-particle":"","parse-names":false,"suffix":""},{"dropping-particle":"","family":"Kushalappa","given":"Chepudira G.","non-dropping-particle":"","parse-names":false,"suffix":""},{"dropping-particle":"","family":"Chengappa","given":"P. G.","non-dropping-particle":"","parse-names":false,"suffix":""},{"dropping-particle":"","family":"Nanaya","given":"K. M.","non-dropping-particle":"","parse-names":false,"suffix":""}],"container-title":"Mountain Research and Development","id":"ITEM-7","issue":"3","issued":{"date-parts":[["2007"]]},"page":"206-210","title":"Geographical indications and biodiversity in the Western Ghats, India: Can labelling benefit producers and the environment in a mountain agroforestry landscape?","type":"article-journal","volume":"27"},"uris":["http://www.mendeley.com/documents/?uuid=a430fe74-5b5b-4c41-87bf-e5677f11ca03"]},{"id":"ITEM-8","itemData":{"DOI":"10.22198/rys.2011.51.a53","ISSN":"1870-3925","abstract":"El agave azul (Agave tequilana Weber) es un cultivo nuevo para la cuenca del río Ayuquila en la Costa Sur de Jalisco, y es importante para su progreso agropecuario. Sin embargo, se observan efectos socioambientales negativos. Desde 2003 se han estudiado las condiciones del cultivo y su expansión, así como alternativas posibles. Los resultados muestran un crecimiento acelerado desde su introducción, a mitad de la década de 1990. Se destaca una concentración de propietarios privados y a través de contratos. Si bien sembrar esta planta puede ser redituable, las tendencias cíclicas de sobreproducción y escasez han originado una falta de incentivos para hacerlo y un deterioro de la capacidad productiva. Se discuten las perspectivas del avance agropecuario basado en el cultivo del agave azul, y se ofrecen algunas recomendaciones para fomentar la sustentabilidad de su sistema de producción comercial.","author":[{"dropping-particle":"","family":"Gerritsen","given":"Peter R.W.","non-dropping-particle":"","parse-names":false,"suffix":""},{"dropping-particle":"","family":"Rosales Adame","given":"Jesús Juan","non-dropping-particle":"","parse-names":false,"suffix":""},{"dropping-particle":"","family":"Moreno Hernández","given":"Arturo","non-dropping-particle":"","parse-names":false,"suffix":""},{"dropping-particle":"","family":"Martínez Rivera","given":"Luis Manuel","non-dropping-particle":"","parse-names":false,"suffix":""}],"container-title":"Región Y Sociedad","id":"ITEM-8","issue":"51","issued":{"date-parts":[["2015"]]},"title":"Agave azul y el desarrollo sustentable en la cuenca baja del río Ayuquila, Costa Sur de Jalisco (1994-2004)","type":"article-journal","volume":"23"},"uris":["http://www.mendeley.com/documents/?uuid=7ea3384a-b997-4fe5-a568-167b21111ba5"]},{"id":"ITEM-9","itemData":{"DOI":"10.1016/j.landusepol.2014.10.009","ISSN":"02648377","abstract":"Consumers express a growing interest for local and quality foods certified by their origin and their environmental production standards. This has led to the emergence of certified products meeting sustainability criteria. Because consumers are willing to pay a price premium for sustainably produced commodities, these certifications act as market-based instruments to promote sustainable land use. Among Geographical Indications (GIs) labels, the two European Union GIs - called Protection of Designation of Origin (PDO) and Protection of Geographical Indication (PGI) - can be considered as agricultural product certification. These GIs identify a good as originating from a region where a given quality, reputation or other characteristic of the good is attributable to its geographical origin. Land use is potentially affected by GIs because product characteristics are associated with the biophysical attributes of the terroir and some product specifications relate to land management practices. Little empirical evidence substantiates the claim that GIs have an impact on land use. The objective of this study was to understand whether Geographical Indications are an effective market-based instrument to promote conservation of extensive land use practices in marginal mountain areas. We conducted farm surveys along a gradient of GI requirements for the following similar cheese products: Tomme de Savoie PGI, Tomme de Savoie EQC, and Tome des Bauges PDO. We tested the hypothesis that the more stringent PDO requirements were associated with more extensive agricultural practices and provided more benefits to farmers. Results showed that the strict standards of PGI and PDO are associated with greater benefits for farmers and more extensive agricultural practices. In comparison to PGI farmers, PDO farmers obtain higher price premiums and gain more knowledge. More extensive practices are observed on PDO farms but the differences between labels are minor. Our results also reveal a great variability in agricultural practices among farms of a same label. Farmers have various motivations for labelling their product.","author":[{"dropping-particle":"","family":"Lamarque","given":"Pénélope","non-dropping-particle":"","parse-names":false,"suffix":""},{"dropping-particle":"","family":"Lambin","given":"Eric F.","non-dropping-particle":"","parse-names":false,"suffix":""}],"container-title":"Land Use Policy","id":"ITEM-9","issued":{"date-parts":[["2015"]]},"page":"706-717","publisher":"Elsevier Ltd","title":"The effectiveness of marked-based instruments to foster the conservation of extensive land use: The case of Geographical Indications in the French Alps","type":"article-journal","volume":"42"},"uris":["http://www.mendeley.com/documents/?uuid=e6e64e9b-53ea-4441-9dce-939972095067"]},{"id":"ITEM-10","itemData":{"DOI":"10.1080/13563475.2013.750943","ISSN":"13563475","abstract":"In the literature on urban sprawl, few studies have looked at possible connection between effective protection of agricultural land and urban or community food strategies. Our case studies in Provence and Tuscany show that planning prescriptions and land-market control are insufficient to protect farmland on the urban fringe if regulatory approaches are not integrated into a global strategy for agriculture and food based on community involvement. Farmland protection policies are more effective if they combine top-down policies with bottom-up initiatives and if they recognize the multifunctional character of urban agriculture, especially with processed goods such as wine or olive oil. © 2013 Copyright Taylor and Francis Group, LLC.","author":[{"dropping-particle":"","family":"Perrin","given":"Coline","non-dropping-particle":"","parse-names":false,"suffix":""}],"container-title":"International Planning Studies","id":"ITEM-10","issue":"1","issued":{"date-parts":[["2013"]]},"page":"21-36","title":"Regulation of Farmland Conversion on the Urban Fringe: From Land-Use Planning to Food Strategies. Insight into Two Case Studies in Provence and Tuscany","type":"article-journal","volume":"18"},"uris":["http://www.mendeley.com/documents/?uuid=b834800d-4872-428c-b854-9adfec4edd3c"]},{"id":"ITEM-11","itemData":{"DOI":"10.1080/08039410.2014.901239","ISSN":"08039410","abstract":"This article addresses the intertwining and co-production of normative and technological strands in the politics of natural resource extraction. It explores how the integration of a forest resource in the global economy by means of normative and technological appropriation is associated with the delegation of responsibility for its conservation and the sustainability of its extraction management to local-use rights holders. In the process, such entanglements involve the commodification of a local staple as a niche product exploitable on a global scale. The transformation of the access rights of local people into responsibilities is addressed as an implicit form of de facto soft land and resource grabbing (e.g. Zoomers 2010; Sassen 2013; Seufert 2013). This article aims to contribute to the ongoing debate around forms of accumulation by dispossession (Harvey 2003; Kelly 2011; Corson 2011). The specific case study involves the emergence of argan oil on the world market. © 2014 © 2014 Max Planck Institute for Social Anthropology.","author":[{"dropping-particle":"","family":"Turner","given":"Bertram","non-dropping-particle":"","parse-names":false,"suffix":""}],"container-title":"Forum for Development Studies","id":"ITEM-11","issue":"2","issued":{"date-parts":[["2014"]]},"page":"207-232","title":"Neoliberal politics of resource extraction: Moroccan argan oil","type":"article-journal","volume":"41"},"uris":["http://www.mendeley.com/documents/?uuid=14568465-2b80-4c16-8c83-99f84422d64f"]},{"id":"ITEM-12","itemData":{"DOI":"10.1080/00167223.2013.876206","ISSN":"00167223","abstract":"Economic optimisation of the gross margin per hectare in agriculture reduces diversity, coherence and identity of cultural landscapes. Hence, landscape preservation calls for changes in the social–ecological organisation of places, which implies complex transitional processes towards new management regimes. These are supported by CAP reforms (Horizon, 2014–2020) that increasingly turn from individual production subsidies to farmers to the collective management of natural resources and the related ecosystem services. This article explores the opportunities for landscape preservation in Galicia, Spain. The central question is: ‘How to develop a successful planning approach in the context of a geographically peripheral area facing severe ecological, social and economic vulnerabilities?’ In the case study area, contrasting viewpoints on landscape preservation among rural dwellers, entrepreneurs and representatives of institutions point to power issues on control over the natural environment, but also provide input for the development of an actor-oriented approach to landscape preservation. This article provides a ‘tool’ for catching up with the EU objectives of sustainable, inclusive and smart growth and contributes to our understanding of how place-based development in EU programs can be combined with landscape management in Galicia.","author":[{"dropping-particle":"","family":"Swagemakers","given":"Paul","non-dropping-particle":"","parse-names":false,"suffix":""},{"dropping-particle":"","family":"Copena Rodríguez","given":"Damian","non-dropping-particle":"","parse-names":false,"suffix":""},{"dropping-particle":"","family":"Domínguez García","given":"María Dolores","non-dropping-particle":"","parse-names":false,"suffix":""},{"dropping-particle":"","family":"Simón Fernández","given":"Xavier","non-dropping-particle":"","parse-names":false,"suffix":""}],"container-title":"Geografisk Tidsskrift","id":"ITEM-12","issue":"2","issued":{"date-parts":[["2014"]]},"page":"109-118","publisher":"Routledge","title":"Fighting for a future: an actor-oriented planning approach to landscape preservation in Galicia","type":"article-journal","volume":"114"},"uris":["http://www.mendeley.com/documents/?uuid=63add8fb-b9dd-49c0-9623-d26e72e48d23"]},{"id":"ITEM-13","itemData":{"DOI":"10.1007/s11625-017-0455-z","ISSN":"18624057","abstract":"Many Japanese and European landscapes harbor biocultural diversity that has been shaped by human agency over centuries. However, these landscapes are threatened by widespread land abandonment, land-use changes, and urbanization. The aim of this study is to use a “solution scanning” method to identify place-based food networks in Europe and Japan that reinforce linkages between biological and cultural diversity in landscapes. In our analysis of 26 European and 13 Japanese cases, we find that place-based food networks are typically located in heterogeneous landscapes, are driven by civil society (and less by markets), and act at a local scale. Regional identity is the most frequently addressed societal issue. Scenery, rural tourism, and nature conservation are more important motivations in Europe, and physical well-being and revitalization of local economies are more relevant in Japan. European models are typically associated with achieving biodiversity conservation and socio-cultural tradition outcomes, and Japanese models more with public health and nutrition outcomes. We discuss the potential for transfer of approaches from Japan to Europe (e.g., models that tackle the aging of rural societies), and from Europe to Japan (e.g., models that build explicit connections between food production and biodiversity conservation). We conclude with a list of recommended policy measures, e.g., the creation of a flexible legal framework that protects the interests of and reduces political constraints for collaborative efforts to biocultural diversity in landscapes.","author":[{"dropping-particle":"","family":"Plieninger","given":"Tobias","non-dropping-particle":"","parse-names":false,"suffix":""},{"dropping-particle":"","family":"Kohsaka","given":"Ryo","non-dropping-particle":"","parse-names":false,"suffix":""},{"dropping-particle":"","family":"Bieling","given":"Claudia","non-dropping-particle":"","parse-names":false,"suffix":""},{"dropping-particle":"","family":"Hashimoto","given":"Shizuka","non-dropping-particle":"","parse-names":false,"suffix":""},{"dropping-particle":"","family":"Kamiyama","given":"Chiho","non-dropping-particle":"","parse-names":false,"suffix":""},{"dropping-particle":"","family":"Kizos","given":"Thanasis","non-dropping-particle":"","parse-names":false,"suffix":""},{"dropping-particle":"","family":"Penker","given":"Marianne","non-dropping-particle":"","parse-names":false,"suffix":""},{"dropping-particle":"","family":"Kieninger","given":"Pia","non-dropping-particle":"","parse-names":false,"suffix":""},{"dropping-particle":"","family":"Shaw","given":"Brian J.","non-dropping-particle":"","parse-names":false,"suffix":""},{"dropping-particle":"","family":"Sioen","given":"Giles Bruno","non-dropping-particle":"","parse-names":false,"suffix":""},{"dropping-particle":"","family":"Yoshida","given":"Yuki","non-dropping-particle":"","parse-names":false,"suffix":""},{"dropping-particle":"","family":"Saito","given":"Osamu","non-dropping-particle":"","parse-names":false,"suffix":""}],"container-title":"Sustainability Science","id":"ITEM-13","issue":"1","issued":{"date-parts":[["2018"]]},"page":"219-233","publisher":"Springer Japan","title":"Fostering biocultural diversity in landscapes through place-based food networks: a “solution scan” of European and Japanese models","type":"article-journal","volume":"13"},"uris":["http://www.mendeley.com/documents/?uuid=5802e367-08b1-4f9a-a14b-5a9d358709eb"]},{"id":"ITEM-14","itemData":{"DOI":"10.13128/Aestimum-23970","ISSN":"17242118","abstract":"Apulia is the fifth Italian region in terms of irrigated area and irrigation water used in agriculture. However, inefficiencies in the management of the regional irrigation consortia force most of farmers to use groundwater by private wells, with negative consequences on soil and crop characteristics, and with grave desertification risk. In the first instance, through a choice experiment survey, the study investigated the aptitude of the regional farmers toward the abandonment of their farm wells in exchange for an improved consortium irrigation network and additional services. Then, through a stochastic profit frontier, the impact of these choices was assessed on the economic performance of farms, providing useful information for suitable and fair groundwater preservation policies.","author":[{"dropping-particle":"","family":"Sardaro","given":"Ruggiero","non-dropping-particle":"","parse-names":false,"suffix":""},{"dropping-particle":"","family":"Bozzo","given":"Francesco","non-dropping-particle":"","parse-names":false,"suffix":""},{"dropping-particle":"","family":"Fucilli","given":"Vincenzo","non-dropping-particle":"","parse-names":false,"suffix":""}],"container-title":"Aestimum","id":"ITEM-14","issued":{"date-parts":[["2018"]]},"page":"81-107","title":"The choice experiment and the stochastic profit frontier: A methodological approach for groundwater preservation policies","type":"article-journal","volume":"72"},"uris":["http://www.mendeley.com/documents/?uuid=6767fcf1-bf80-49cc-9b62-d68456d62e6a"]},{"id":"ITEM-15","itemData":{"DOI":"10.1080/09669582.2019.1648482","ISSN":"17477646","abstract":"As an agricultural product with strong social and cultural connotations, the production and consumption of tea have high potential to be integrated with tourism to enhance community livelihood sustainability. A sustainable livelihood approach is used in a tea tourism context in Hetu Town, Anhui Province, China, to examine critically the interactive relationships between tea and tourism. Face-to-face semi-structured interviews were conducted with management officials, community leaders, tea industry representatives and village residents in four field investigations in 2015 and 2016. Improvement in community livelihood sustainability was identified through enhancement of livelihood diversity and choice. However, impacts on household livelihood sustainability varied as tourism participation is restricted by level of livelihood assets. The increase of the within-community income gap may generate social problems in the long run. The current level of tea and tourism integration is limited. The history, culture and traditions related with tea are not widely disseminated by local tea producers. Opportunities for in-depth and diversified tea tourism experiences are being recognized, which call for partnership with those involved in tourism. Practical implications are discussed to enhance tea and tourism integration, boost local participation, enhance local benefits, and particularly, to engage those with lower levels of livelihood assets.","author":[{"dropping-particle":"","family":"Su","given":"Ming Ming","non-dropping-particle":"","parse-names":false,"suffix":""},{"dropping-particle":"","family":"Wall","given":"Geoffrey","non-dropping-particle":"","parse-names":false,"suffix":""},{"dropping-particle":"","family":"Wang","given":"Yanan","non-dropping-particle":"","parse-names":false,"suffix":""}],"container-title":"Journal of Sustainable Tourism","id":"ITEM-15","issue":"10","issued":{"date-parts":[["2019"]]},"page":"1591-1608","publisher":"Routledge","title":"Integrating tea and tourism: a sustainable livelihoods approach","type":"article-journal","volume":"27"},"uris":["http://www.mendeley.com/documents/?uuid=260b9343-a3a1-461c-87f7-1ba8812c6fe0"]},{"id":"ITEM-16","itemData":{"DOI":"10.1016/j.jrurstud.2019.03.014","ISSN":"07430167","abstract":"A Geographical Indication (GI) is expected to facilitate agri-environmental management in agricultural landscapes. Currently, local products from small-scale farms and national branded products with a relatively large scale of production are being registered using GI schemes. Considering the relationships among GI products, their agricultural landscapes, and traditional ecological knowledge (TEK), as a GI case study, we examined small GI farms in Odate City, Akita Prefecture, Japan, which produce edible plants called Tonburi. This research explored the complex cause-effect relationship between TEK and landscapes and found that the TEK of Tonburi production influenced biological diversity and vice versa. The TEK and skills of small farmers were confined to the family members of each farmer and were not shared at the community level until GI registration. However, the farmers shared their TEK of sustainable agricultural landscape management through the process of GI registration. Through negotiation between local agricultural cooperatives and farmers, TEK was provided as a form of cultural capital and shared with new producers after GI registration. We concluded that enclosed TEK negatively affects production maintenance and landscape management in the long term. However, the GI registration process contributes to the sharing of TEK as a form of cultural capital among Tonburi farmers.","author":[{"dropping-particle":"","family":"Tashiro","given":"Ai","non-dropping-particle":"","parse-names":false,"suffix":""},{"dropping-particle":"","family":"Uchiyama","given":"Yuta","non-dropping-particle":"","parse-names":false,"suffix":""},{"dropping-particle":"","family":"Kohsaka","given":"Ryo","non-dropping-particle":"","parse-names":false,"suffix":""}],"container-title":"Journal of Rural Studies","id":"ITEM-16","issue":"June 2018","issued":{"date-parts":[["2019"]]},"page":"46-53","publisher":"Elsevier","title":"Impact of Geographical Indication schemes on traditional knowledge in changing agricultural landscapes: An empirical analysis from Japan","type":"article-journal","volume":"68"},"uris":["http://www.mendeley.com/documents/?uuid=c6d20004-6752-4e29-83a2-66e7bfcfa393"]},{"id":"ITEM-17","itemData":{"DOI":"10.1080/13549830903406057","ISSN":"13549839","abstract":"Protected designations of origin (PDOs) and protected geographical indications (PGIs) are an important aspect of the recent turn towards quality agri-food products in the EU. However, their actual impact on rural development is not clear. This paper contributes to the debate over the impact of PDOs and PGIs by focusing on Ladotyri Mytilinis PDO, a cheese produced exclusively on Lesvos island, Greece. The socio-economic and environmental impact of Ladotyri Mytilinis PDO is based on findings from two field researches. Secondary data by the National Statistical Service of Greece and by other sources are also used. According to the findings the impact of Ladotyri Mytilinis PDO cheese, and of its various actors that construct its supply chain, is on the one hand very important for Lesvos island but on the other hand not radically different when compared to the impact of Graviera, a close substitute and non-PDO cheese, which is also produced in the area by the same actors. © Taylor &amp; Francis.","author":[{"dropping-particle":"","family":"Vakoufaris","given":"Hristos","non-dropping-particle":"","parse-names":false,"suffix":""}],"container-title":"Local Environment","id":"ITEM-17","issue":"1","issued":{"date-parts":[["2010"]]},"page":"27-41","title":"The impact of ladotyri mytilinis PDO cheese on the rural development of Lesvos Island, Greece","type":"article-journal","volume":"15"},"uris":["http://www.mendeley.com/documents/?uuid=e719cf24-a7ac-4416-943d-34123a3ea885"]},{"id":"ITEM-18","itemData":{"abstract":"La notion d'Indication Géographique $\\$(IG$\\$) exposée par l'Organisation mondiale du commerce, identifie les lignes directrices spécifiques de qualité et protège les aliments, boissons et autres produits de la concurrence, en fonction de leur origine géographique ou lieu spécifique. Au Mexique, les IG sont connues comme Dénominations d'Origine $\\$(DO$\\$), et en 1974, la téquila a été reconnue comme le premier produit mexicain de DO. En 1994, le gouvernement mexicain a créé une DO pour la catégorie des boissons d'agave distillé, le mezcal. Dans l'État de Jalisco, au Mexique, il existe plusieurs types de mezcal, mais quelques-uns seulement sont reconnus sous la réglementation DO. Bien que fabriqués artisanalement dans le Jalisco depuis des siècles, de nombreux mezcals, comme la raicilla, ne sont pas protégés par le système DO. Les fabricants traditionnels, qui sont souvent eux-mêmes cultivateurs d'agaves, jouent un rôle important dans le maintien des ressources écologiques de la région. Nous nous sommes intéressées à trois boissons $\\$(téquila, raicilla et mezcal$\\$), chacune produite dans le Jalisco, au Mexique, pour étudier comment les différents acteurs sociaux négocient les questions relatives à la biodiversité. En particulier, nous attirons l'attention sur les fabrications artisanales de ces boissons et les traditions humaines qui soutiennent le développement durable. De plus, nous mettons l'accent sur un ensemble d'espèces d'agaves $\\$(sauvages et cultivés$\\$), utilisés à la fois par des grands producteurs et par d'autres sur de plus petites surfaces, en tenant compte de la diversité des agaves et de leurs efforts pour se maintenir sur le marché des spiritueux. Plus précisément, nous posons les questions suivantes : Quelles sont les espèces d'agaves actuellement utilisées à la fois par les grands et les petits fabricants de téquila et de mezcal dans l'État de Jalisco? Quelles sont les conditions permettant une utilisation plus importante de biodiversité spécifique et variétale indigènes? Comme nous le montrons, les producteurs artisanaux sont plus susceptibles d'utiliser des espèces variées d'agaves dans la fabrication de leurs boissons distillées. Mais les pressions pour moderniser leurs méthodes de production menacent la diversité écologique et culturelle de ces produits du terroir.Outlined by the World Trade Organization, Geographical Indication $\\$(GI$\\$) designations identify specific quality guidelines and protect foods, drinks, and other pro…","author":[{"dropping-particle":"","family":"Zapata","given":"Ana G Valenzuela","non-dropping-particle":"","parse-names":false,"suffix":""},{"dropping-particle":"","family":"Gaytán","given":"Marie Sarita","non-dropping-particle":"","parse-names":false,"suffix":""}],"id":"ITEM-18","issued":{"date-parts":[["2019"]]},"page":"0-19","title":"Sustaining Biological and Cultural Diversity","type":"article-journal"},"uris":["http://www.mendeley.com/documents/?uuid=9d8dc832-3f29-439d-83bc-fbc001fb8f8c"]}],"mendeley":{"formattedCitation":"(ARASHIRO, 2017; BELLETTI &lt;i&gt;et al.&lt;/i&gt;, 2015; BÉRARD; MARCHENAY, 2006; BOWEN, 2010; BOWEN; ZAPATA, 2009; DE ROEST; MENGHI, 2000; GARCIA &lt;i&gt;et al.&lt;/i&gt;, 2007; GERRITSEN &lt;i&gt;et al.&lt;/i&gt;, 2015; LAMARQUE; LAMBIN, 2015; PERRIN, 2013; PLIENINGER &lt;i&gt;et al.&lt;/i&gt;, 2018; SARDARO; BOZZO; FUCILLI, 2018; SU; WALL; WANG, 2019; SWAGEMAKERS &lt;i&gt;et al.&lt;/i&gt;, 2014; TASHIRO; UCHIYAMA; KOHSAKA, 2019; TURNER, 2014; VAKOUFARIS, 2010; ZAPATA; GAYTÁN, 2019)","plainTextFormattedCitation":"(ARASHIRO, 2017; BELLETTI et al., 2015; BÉRARD; MARCHENAY, 2006; BOWEN, 2010; BOWEN; ZAPATA, 2009; DE ROEST; MENGHI, 2000; GARCIA et al., 2007; GERRITSEN et al., 2015; LAMARQUE; LAMBIN, 2015; PERRIN, 2013; PLIENINGER et al., 2018; SARDARO; BOZZO; FUCILLI, 2018; SU; WALL; WANG, 2019; SWAGEMAKERS et al., 2014; TASHIRO; UCHIYAMA; KOHSAKA, 2019; TURNER, 2014; VAKOUFARIS, 2010; ZAPATA; GAYTÁN, 2019)","previouslyFormattedCitation":"(ARASHIRO, 2017; BELLETTI &lt;i&gt;et al.&lt;/i&gt;, 2015; BÉRARD; MARCHENAY, 2006; BOWEN, 2010b; BOWEN; ZAPATA, 2009; DE ROEST; MENGHI, 2000; GARCIA &lt;i&gt;et al.&lt;/i&gt;, 2007; GERRITSEN &lt;i&gt;et al.&lt;/i&gt;, 2015; LAMARQUE; LAMBIN, 2015; PERRIN, 2013; PLIENINGER &lt;i&gt;et al.&lt;/i&gt;, 2018; SARDARO; BOZZO; FUCILLI, 2018; SU; WALL; WANG, 2019; SWAGEMAKERS &lt;i&gt;et al.&lt;/i&gt;, 2014; TASHIRO; UCHIYAMA; KOHSAKA, 2019; TURNER, 2014; VAKOUFARIS, 2010; ZAPATA; GAYTÁN, 2019)"},"properties":{"noteIndex":0},"schema":"https://github.com/citation-style-language/schema/raw/master/csl-citation.json"}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(ARASHIRO, 2017; BELLETTI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2015; BÉRARD; MARCHENAY, 2006; BOWEN, 2010; BOWEN; ZAPATA, 2009; DE ROEST; MENGHI, 2000; GARCIA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2007; GERRITSEN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2015; LAMARQUE; LAMBIN, 2015; PERRIN, 2013; PLIENINGER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2018; SARDARO; BOZZO; FUCILLI, 2018; SU; WALL; WANG, 2019; SWAGEMAKERS </w:t>
            </w:r>
            <w:r w:rsidRPr="001C69EC">
              <w:rPr>
                <w:rFonts w:ascii="Arial" w:eastAsia="Times New Roman" w:hAnsi="Arial" w:cs="Arial"/>
                <w:i/>
                <w:noProof/>
                <w:lang w:eastAsia="pt-BR"/>
              </w:rPr>
              <w:t>et al.</w:t>
            </w:r>
            <w:r w:rsidRPr="001C69EC">
              <w:rPr>
                <w:rFonts w:ascii="Arial" w:eastAsia="Times New Roman" w:hAnsi="Arial" w:cs="Arial"/>
                <w:noProof/>
                <w:lang w:eastAsia="pt-BR"/>
              </w:rPr>
              <w:t>, 2014; TASHIRO; UCHIYAMA; KOHSAKA, 2019; TURNER, 2014; VAKOUFARIS, 2010; ZAPATA; GAYTÁN, 2019)</w:t>
            </w:r>
            <w:r w:rsidRPr="001C69EC">
              <w:rPr>
                <w:rFonts w:ascii="Arial" w:eastAsia="Times New Roman" w:hAnsi="Arial" w:cs="Arial"/>
                <w:lang w:eastAsia="pt-BR"/>
              </w:rPr>
              <w:fldChar w:fldCharType="end"/>
            </w:r>
            <w:r w:rsidRPr="001C69EC">
              <w:rPr>
                <w:rFonts w:ascii="Arial" w:eastAsia="Times New Roman" w:hAnsi="Arial" w:cs="Arial"/>
                <w:lang w:eastAsia="pt-BR"/>
              </w:rPr>
              <w:t xml:space="preserve">; </w:t>
            </w:r>
          </w:p>
        </w:tc>
      </w:tr>
      <w:tr w:rsidR="001C69EC" w:rsidRPr="001C69EC" w14:paraId="7CF5BC76" w14:textId="77777777" w:rsidTr="001C69EC">
        <w:trPr>
          <w:trHeight w:val="255"/>
        </w:trPr>
        <w:tc>
          <w:tcPr>
            <w:tcW w:w="6222" w:type="dxa"/>
            <w:noWrap/>
          </w:tcPr>
          <w:p w14:paraId="45AC3AC9" w14:textId="77777777" w:rsidR="001C69EC" w:rsidRPr="001C69EC" w:rsidRDefault="001C69EC" w:rsidP="00533B63">
            <w:pPr>
              <w:jc w:val="both"/>
              <w:rPr>
                <w:rFonts w:ascii="Arial" w:hAnsi="Arial" w:cs="Arial"/>
              </w:rPr>
            </w:pPr>
            <w:r w:rsidRPr="001C69EC">
              <w:rPr>
                <w:rFonts w:ascii="Arial" w:hAnsi="Arial" w:cs="Arial"/>
              </w:rPr>
              <w:t>Políticas públicas com incentivos econômicos e sociais às práticas desejáveis; abordagem multifuncional para o planejamento de uso da terra, com integração das políticas de planejamento urbano, agricultura, alimentação e saúde; políticas de desenvolvimento rural com conexões entre modernidade, novidade e tradição.</w:t>
            </w:r>
          </w:p>
        </w:tc>
        <w:tc>
          <w:tcPr>
            <w:tcW w:w="2562" w:type="dxa"/>
          </w:tcPr>
          <w:p w14:paraId="7B58139F" w14:textId="15C824C8" w:rsidR="001C69EC" w:rsidRPr="001C69EC" w:rsidRDefault="001C69EC" w:rsidP="00533B63">
            <w:pPr>
              <w:jc w:val="both"/>
              <w:rPr>
                <w:rFonts w:ascii="Arial" w:eastAsia="Times New Roman" w:hAnsi="Arial" w:cs="Arial"/>
                <w:lang w:eastAsia="pt-BR"/>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{"citationItems":[{"id":"ITEM-1","itemData":{"ISSN":"0264-8377","abstract":"&lt;p&gt;•Environmental rules of 107 EU olive-oil geographical indications (GI) are analyzed.•Environmental concerns are not very explicitly considered in Product Specifications.•There appears to exist a ‘greening’ of Product Specifications over time.•Protected GIs play environmentally positive roles, albeit indirectly in many cases.•Public policies can strengthen the environmental role of Protected GIs.&lt;/p&gt; &lt;p&gt;The link between food and the environment constitutes a core issue from the consumer’s point of view and in the political debate. Geographical indication products, due to their association with specific territories and links to specific local resources, can improve economic, social and environmental sustainability.&lt;/p&gt; &lt;p&gt;The present paper investigates the relationship between the legal protection of geographical indications and the environment, analyzing the Product Specifications of the 107 olive-oil geographical indications registered in the European Union....","author":[{"dropping-particle":"","family":"Belletti","given":"Giovanni","non-dropping-particle":"","parse-names":false,"suffix":""},{"dropping-particle":"","family":"Marescotti","given":"Andrea","non-dropping-particle":"","parse-names":false,"suffix":""},{"dropping-particle":"","family":"Sanz-Cañada","given":"Javier","non-dropping-particle":"","parse-names":false,"suffix":""},{"dropping-particle":"","family":"Vakoufaris","given":"Hristos","non-dropping-particle":"","parse-names":false,"suffix":""}],"container-title":"Land Use Policy","id":"ITEM-1","issued":{"date-parts":[["2015"]]},"page":"94-106","publisher":"Elsevier Ltd","title":"Linking protection of geographical indications to the environment: Evidence from the European Union olive-oil sector","type":"article-journal","volume":"48"},"uris":["http://www.mendeley.com/documents/?uuid=9f083e84-a627-4b3e-b020-4d731d0bebf2"]},{"id":"ITEM-2","itemData":{"DOI":"10.1007/s10531-015-0994-5","ISSN":"15729710","abstract":"Understanding the latent relationship between rural landscape and biodiversity conservation is of key importance when aiming to preserve food security, ecosystem services and the quality of the environment. Crop intensification negatively impacted the biodiversity of rural areas and was followed by the adoption of mono-cultural production models. The conservation of traditional agricultural landscapes (TALs) based on traditional land management approaches, ensures the conservation of the ecosystem’s complexity and high levels of biodiversity. In Europe, Mediterranean TALs are threatened by a combination of anthropogenic and natural factors. The need to preserve TALs is widely recognized despite the lack of comprehensive information and collective policy strategies. On the other hand, inventories are available for endangered cultivars, typical products and traditional agricultural practices. This study focuses on the relationship between TALs and the use of local varieties/typical products. The analysis will: (i) define, map and characterize the tree-crop based traditional landscapes in one of the Mediterranean regions (Latium, central Italy) through a land-use change detection analysis (1960–2000) and (ii) identify the most endangered TALs based on environmental risk factors, on autochthonous agro-biodiversity at risk of varietal erosion and on traditional products that risk to disappear. Results prove that the most endangered rural landscapes are the ones located on fringe and marginal lands due to climate aridity and soil erosion. The identification of the endangered TALs contributes to constructing more effective strategies for the preservation of agro-biodiversity and natural ecosystem functionality.","author":[{"dropping-particle":"","family":"Biasi","given":"Rita","non-dropping-particle":"","parse-names":false,"suffix":""},{"dropping-particle":"","family":"Brunori","given":"Elena","non-dropping-particle":"","parse-names":false,"suffix":""},{"dropping-particle":"","family":"Smiraglia","given":"Daniela","non-dropping-particle":"","parse-names":false,"suffix":""},{"dropping-particle":"","family":"Salvati","given":"Luca","non-dropping-particle":"","parse-names":false,"suffix":""}],"container-title":"Biodiversity and Conservation","id":"ITEM-2","issue":"12","issued":{"date-parts":[["2015"]]},"page":"3009-3031","publisher":"Springer Netherlands","title":"Linking traditional tree-crop landscapes and agro-biodiversity in central Italy using a database of typical and traditional products: a multiple risk assessment through a data mining analysis","type":"article-journal","volume":"24"},"uris":["http://www.mendeley.com/documents/?uuid=11c458a5-2abf-4f78-864c-da2874bc43ae"]},{"id":"ITEM-3","itemData":{"DOI":"10.4081/ija.2017.793","ISSN":"11254718","abstract":"In the context of increasing attention towards sustainable and high quality food products, Italy plays a key role in Europe due to its embedded territorial vocation for locally produced food and alternative agriculture systems helping biodiversity and landscape preservation. Here, we report an overview of Italian agriculture by analysing organic farming (OF) and geographical indication (GI) systems and their contribution to the national agriculture. Land use data highlight that OF and GI contribute around 10% to the utilised agriculture area (UAA), with relevant distinctions in terms of regional distribution. While GIs are mostly in the north-central regions (8.5%), OF products are most frequent in the south and on the islands (5.0% of UAA). This trend was observed on the one hand in Trentino-South Tirol, Veneto and Friuli-Venezia Giulia (%UAA GI/%UAA OF&gt;5.9), and on the other in Calabria, Basilicata and Sicily (%UAA GI/%UAA OF&lt;0.1). Similarly, both systems are widespread in less-favoured areas in terms of agricultural intensification, providing support to preserve agro-systems and reduce land abandonment.","author":[{"dropping-particle":"","family":"Dal Ferro","given":"Nicola","non-dropping-particle":"","parse-names":false,"suffix":""},{"dropping-particle":"","family":"Borin","given":"Maurizio","non-dropping-particle":"","parse-names":false,"suffix":""}],"container-title":"Italian Journal of Agronomy","id":"ITEM-3","issue":"2","issued":{"date-parts":[["2017"]]},"page":"133-143","title":"Environment, agro-system and quality of food production in Italy","type":"article-journal","volume":"12"},"uris":["http://www.mendeley.com/documents/?uuid=59753205-fa6f-4c50-aef9-e93bdd2dc135"]},{"id":"ITEM-4","itemData":{"DOI":"10.1111/1467-9523.00159","ISSN":"00380199","abstract":"Amongst the hundreds of cases of regional specific products being produced all over Europe, the Parmigiano Reggiano cheese system can be considered one of the most eloquent, mature and successful examples avant la lettre of rural development. About 8,000 dairy farmers, cheese dairies and ripening firms comply with the strict production regulations that guarantee the specificity of this product. Employment in the Parmigiano Reggiano production system is twice as high as in the industrial dairy system and the pressure of the system on the environment is significantly lower. As Parmigiano Reggiano cheese has to compete on the same market as more industrial Grana cheeses, the system is not immune to the cost-price squeeze affecting European agriculture. The accelerated introduction of cost reducing technologies may compromise the typicality of the product, endanger its competitive position on the market and weaken its future collective performance. A convergence of views and a strong cohesion among actors is necessary to reach new agreements about the direction being taken by technological development in order to safeguard the success Parmigiano Regiano cheese has been able to generate in the past.","author":[{"dropping-particle":"","family":"Roest","given":"Kees","non-dropping-particle":"De","parse-names":false,"suffix":""},{"dropping-particle":"","family":"Menghi","given":"Alberto","non-dropping-particle":"","parse-names":false,"suffix":""}],"container-title":"Sociologia Ruralis","id":"ITEM-4","issue":"4","issued":{"date-parts":[["2000"]]},"page":"439-451","title":"Reconsidering 'traditional' food: The case of Parmigiano Reggiano cheese","type":"article-journal","volume":"40"},"uris":["http://www.mendeley.com/documents/?uuid=de4bf68f-9f0a-42bc-b2d1-8fb0916edde9"]},{"id":"ITEM-5","itemData":{"DOI":"10.3390/agriculture8070105","ISSN":"20770472","abstract":"This study attempts, above all, to provide a summary, on a strictly scientific basis, about the strategies of conservation of autochthonous agrobiodiversity followed in Italy. A special focus is dedicated to vegetables and, therefore, could represent a contribution to improve the national strategy for the safeguarding of its agrobiodiversity in general. The paper offers also an outlook on the most critical factors of ex situ conservation and actions which need to be taken. Some examples of ‘novel’ recovered neglected crops are also given. Finally a case study is proposed on ‘Mugnolicchio’, a neglected race of Brassica oleracea L., cultivated in Altamura (Ba) in southern Italy, that might be considered as an early step in the evolution of broccoli (B. oleracea L. var. italica Plenck) like ‘Mugnoli’ another neglected race described from Salento (Apulia).","author":[{"dropping-particle":"","family":"Hammer","given":"Karl","non-dropping-particle":"","parse-names":false,"suffix":""},{"dropping-particle":"","family":"Montesano","given":"Vincenzo","non-dropping-particle":"","parse-names":false,"suffix":""},{"dropping-particle":"","family":"Direnzo","given":"Paolo","non-dropping-particle":"","parse-names":false,"suffix":""},{"dropping-particle":"","family":"Laghetti","given":"Gaetano","non-dropping-particle":"","parse-names":false,"suffix":""}],"container-title":"Agriculture (Switzerland)","id":"ITEM-5","issue":"7","issued":{"date-parts":[["2018"]]},"title":"Conservation of crop genetic resources in Italy with a focus on vegetables and a case study of a neglected race of brassica oleracea","type":"article-journal","volume":"8"},"uris":["http://www.mendeley.com/documents/?uuid=f817dbae-8995-465d-831b-60ba6305cdac"]},{"id":"ITEM-6","itemData":{"DOI":"10.1080/13563475.2013.750943","ISSN":"13563475","abstract":"In the literature on urban sprawl, few studies have looked at possible connection between effective protection of agricultural land and urban or community food strategies. Our case studies in Provence and Tuscany show that planning prescriptions and land-market control are insufficient to protect farmland on the urban fringe if regulatory approaches are not integrated into a global strategy for agriculture and food based on community involvement. Farmland protection policies are more effective if they combine top-down policies with bottom-up initiatives and if they recognize the multifunctional character of urban agriculture, especially with processed goods such as wine or olive oil. © 2013 Copyright Taylor and Francis Group, LLC.","author":[{"dropping-particle":"","family":"Perrin","given":"Coline","non-dropping-particle":"","parse-names":false,"suffix":""}],"container-title":"International Planning Studies","id":"ITEM-6","issue":"1","issued":{"date-parts":[["2013"]]},"page":"21-36","title":"Regulation of Farmland Conversion on the Urban Fringe: From Land-Use Planning to Food Strategies. Insight into Two Case Studies in Provence and Tuscany","type":"article-journal","volume":"18"},"uris":["http://www.mendeley.com/documents/?uuid=b834800d-4872-428c-b854-9adfec4edd3c"]},{"id":"ITEM-7","itemData":{"DOI":"10.1007/s11625-017-0455-z","ISSN":"18624057","abstract":"Many Japanese and European landscapes harbor biocultural diversity that has been shaped by human agency over centuries. However, these landscapes are threatened by widespread land abandonment, land-use changes, and urbanization. The aim of this study is to use a “solution scanning” method to identify place-based food networks in Europe and Japan that reinforce linkages between biological and cultural diversity in landscapes. In our analysis of 26 European and 13 Japanese cases, we find that place-based food networks are typically located in heterogeneous landscapes, are driven by civil society (and less by markets), and act at a local scale. Regional identity is the most frequently addressed societal issue. Scenery, rural tourism, and nature conservation are more important motivations in Europe, and physical well-being and revitalization of local economies are more relevant in Japan. European models are typically associated with achieving biodiversity conservation and socio-cultural tradition outcomes, and Japanese models more with public health and nutrition outcomes. We discuss the potential for transfer of approaches from Japan to Europe (e.g., models that tackle the aging of rural societies), and from Europe to Japan (e.g., models that build explicit connections between food production and biodiversity conservation). We conclude with a list of recommended policy measures, e.g., the creation of a flexible legal framework that protects the interests of and reduces political constraints for collaborative efforts to biocultural diversity in landscapes.","author":[{"dropping-particle":"","family":"Plieninger","given":"Tobias","non-dropping-particle":"","parse-names":false,"suffix":""},{"dropping-particle":"","family":"Kohsaka","given":"Ryo","non-dropping-particle":"","parse-names":false,"suffix":""},{"dropping-particle":"","family":"Bieling","given":"Claudia","non-dropping-particle":"","parse-names":false,"suffix":""},{"dropping-particle":"","family":"Hashimoto","given":"Shizuka","non-dropping-particle":"","parse-names":false,"suffix":""},{"dropping-particle":"","family":"Kamiyama","given":"Chiho","non-dropping-particle":"","parse-names":false,"suffix":""},{"dropping-particle":"","family":"Kizos","given":"Thanasis","non-dropping-particle":"","parse-names":false,"suffix":""},{"dropping-particle":"","family":"Penker","given":"Marianne","non-dropping-particle":"","parse-names":false,"suffix":""},{"dropping-particle":"","family":"Kieninger","given":"Pia","non-dropping-particle":"","parse-names":false,"suffix":""},{"dropping-particle":"","family":"Shaw","given":"Brian J.","non-dropping-particle":"","parse-names":false,"suffix":""},{"dropping-particle":"","family":"Sioen","given":"Giles Bruno","non-dropping-particle":"","parse-names":false,"suffix":""},{"dropping-particle":"","family":"Yoshida","given":"Yuki","non-dropping-particle":"","parse-names":false,"suffix":""},{"dropping-particle":"","family":"Saito","given":"Osamu","non-dropping-particle":"","parse-names":false,"suffix":""}],"container-title":"Sustainability Science","id":"ITEM-7","issue":"1","issued":{"date-parts":[["2018"]]},"page":"219-233","publisher":"Springer Japan","title":"Fostering biocultural diversity in landscapes through place-based food networks: a “solution scan” of European and Japanese models","type":"article-journal","volume":"13"},"uris":["http://www.mendeley.com/documents/?uuid=5802e367-08b1-4f9a-a14b-5a9d358709eb"]},{"id":"ITEM-8","itemData":{"DOI":"10.1016/j.agsy.2004.05.005","ISSN":"0308521X","abstract":"Cultural landscapes in Europe provide a wide range of food products and fulfil social and environmental functions. In order to maintain agricultural practices that contribute to maintaining the biological and cultural value of semi-natural landscapes, agri-environmental schemes are being implemented in many western European countries. In the mountains of southern Europe a major issue is the encroachment of shrubs and trees through natural forest succession following agro-pastoral extensification. In this paper we analyse trends in land use strategies of sheep breeders in response to milk pricing and in relation to various within-farm mechanisms. We show that changes in production rules within the Roquefort cheese protected geographical indication have caused farmers to develop an alternative land use strategy. In this alternative model, farmers now consider rangelands as a valuable resource. By increasing the use of rangelands for sheep grazing and alimentation, this new strategy provides a more effective control of shrub and tree encroachment. We suggest that this involuntary consequence of production and market decisions has been at least as important as agri-environmental schemes in leading ewes' milk producers to make changes in their land use strategy. © 2004 Elsevier Ltd. All rights reserved.","author":[{"dropping-particle":"","family":"Quetier","given":"Fabien","non-dropping-particle":"","parse-names":false,"suffix":""},{"dropping-particle":"","family":"Marty","given":"Pascal","non-dropping-particle":"","parse-names":false,"suffix":""},{"dropping-particle":"","family":"Lepart","given":"Jacques","non-dropping-particle":"","parse-names":false,"suffix":""}],"container-title":"Agricultural Systems","id":"ITEM-8","issue":"2","issued":{"date-parts":[["2005"]]},"page":"171-193","title":"Farmers' management strategies and land use in an agropastoral landscape: Roquefort cheese production rules as a driver of change","type":"article-journal","volume":"84"},"uris":["http://www.mendeley.com/documents/?uuid=64ffe080-0d5c-452a-a813-6632ffc60d87"]},{"id":"ITEM-9","itemData":{"DOI":"10.1080/09669582.2019.1648482","ISSN":"17477646","abstract":"As an agricultural product with strong social and cultural connotations, the production and consumption of tea have high potential to be integrated with tourism to enhance community livelihood sustainability. A sustainable livelihood approach is used in a tea tourism context in Hetu Town, Anhui Province, China, to examine critically the interactive relationships between tea and tourism. Face-to-face semi-structured interviews were conducted with management officials, community leaders, tea industry representatives and village residents in four field investigations in 2015 and 2016. Improvement in community livelihood sustainability was identified through enhancement of livelihood diversity and choice. However, impacts on household livelihood sustainability varied as tourism participation is restricted by level of livelihood assets. The increase of the within-community income gap may generate social problems in the long run. The current level of tea and tourism integration is limited. The history, culture and traditions related with tea are not widely disseminated by local tea producers. Opportunities for in-depth and diversified tea tourism experiences are being recognized, which call for partnership with those involved in tourism. Practical implications are discussed to enhance tea and tourism integration, boost local participation, enhance local benefits, and particularly, to engage those with lower levels of livelihood assets.","author":[{"dropping-particle":"","family":"Su","given":"Ming Ming","non-dropping-particle":"","parse-names":false,"suffix":""},{"dropping-particle":"","family":"Wall","given":"Geoffrey","non-dropping-particle":"","parse-names":false,"suffix":""},{"dropping-particle":"","family":"Wang","given":"Yanan","non-dropping-particle":"","parse-names":false,"suffix":""}],"container-title":"Journal of Sustainable Tourism","id":"ITEM-9","issue":"10","issued":{"date-parts":[["2019"]]},"page":"1591-1608","publisher":"Routledge","title":"Integrating tea and tourism: a sustainable livelihoods approach","type":"article-journal","volume":"27"},"uris":["http://www.mendeley.com/documents/?uuid=260b9343-a3a1-461c-87f7-1ba8812c6fe0"]},{"id":"ITEM-10","itemData":{"DOI":"10.1080/00167223.2013.876206","ISSN":"00167223","abstract":"Economic optimisation of the gross margin per hectare in agriculture reduces diversity, coherence and identity of cultural landscapes. Hence, landscape preservation calls for changes in the social–ecological organisation of places, which implies complex transitional processes towards new management regimes. These are supported by CAP reforms (Horizon, 2014–2020) that increasingly turn from individual production subsidies to farmers to the collective management of natural resources and the related ecosystem services. This article explores the opportunities for landscape preservation in Galicia, Spain. The central question is: ‘How to develop a successful planning approach in the context of a geographically peripheral area facing severe ecological, social and economic vulnerabilities?’ In the case study area, contrasting viewpoints on landscape preservation among rural dwellers, entrepreneurs and representatives of institutions point to power issues on control over the natural environment, but also provide input for the development of an actor-oriented approach to landscape preservation. This article provides a ‘tool’ for catching up with the EU objectives of sustainable, inclusive and smart growth and contributes to our understanding of how place-based development in EU programs can be combined with landscape management in Galicia.","author":[{"dropping-particle":"","family":"Swagemakers","given":"Paul","non-dropping-particle":"","parse-names":false,"suffix":""},{"dropping-particle":"","family":"Copena Rodríguez","given":"Damian","non-dropping-particle":"","parse-names":false,"suffix":""},{"dropping-particle":"","family":"Domínguez García","given":"María Dolores","non-dropping-particle":"","parse-names":false,"suffix":""},{"dropping-particle":"","family":"Simón Fernández","given":"Xavier","non-dropping-particle":"","parse-names":false,"suffix":""}],"container-title":"Geografisk Tidsskrift","id":"ITEM-10","issue":"2","issued":{"date-parts":[["2014"]]},"page":"109-118","publisher":"Routledge","title":"Fighting for a future: an actor-oriented planning approach to landscape preservation in Galicia","type":"article-journal","volume":"114"},"uris":["http://www.mendeley.com/documents/?uuid=63add8fb-b9dd-49c0-9623-d26e72e48d23"]}],"mendeley":{"formattedCitation":"(BELLETTI &lt;i&gt;et al.&lt;/i&gt;, 2015; BIASI &lt;i&gt;et al.&lt;/i&gt;, 2015; DAL FERRO; BORIN, 2017; DE ROEST; MENGHI, 2000; HAMMER &lt;i&gt;et al.&lt;/i&gt;, 2018; PERRIN, 2013; PLIENINGER &lt;i&gt;et al.&lt;/i&gt;, 2018; QUETIER; MARTY; LEPART, 2005; SU; WALL; WANG, 2019; SWAGEMAKERS &lt;i&gt;et al.&lt;/i&gt;, 2014)","plainTextFormattedCitation":"(BELLETTI et al., 2015; BIASI et al., 2015; DAL FERRO; BORIN, 2017; DE ROEST; MENGHI, 2000; HAMMER et al., 2018; PERRIN, 2013; PLIENINGER et al., 2018; QUETIER; MARTY; LEPART, 2005; SU; WALL; WANG, 2019; SWAGEMAKERS et al., 2014)","previouslyFormattedCitation":"(BELLETTI &lt;i&gt;et al.&lt;/i&gt;, 2015; BIASI &lt;i&gt;et al.&lt;/i&gt;, 2015; DAL FERRO; BORIN, 2017; DE ROEST; MENGHI, 2000; HAMMER &lt;i&gt;et al.&lt;/i&gt;, 2018; PERRIN, 2013; PLIENINGER &lt;i&gt;et al.&lt;/i&gt;, 2018; QUETIER; MARTY; LEPART, 2005; SU; WALL; WANG, 2019; SWAGEMAKERS &lt;i&gt;et al.&lt;/i&gt;, 2014)"},"properties":{"noteIndex":0},"schema":"https://github.com/citation-style-language/schema/raw/master/csl-citation.json"}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(BELLETTI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2015; BIASI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2015; DAL FERRO; BORIN, 2017; DE ROEST; MENGHI, 2000; HAMMER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2018; PERRIN, 2013; PLIENINGER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2018; QUETIER; MARTY; LEPART, 2005; SU; WALL; WANG, 2019; SWAGEMAKERS </w:t>
            </w:r>
            <w:r w:rsidRPr="001C69EC">
              <w:rPr>
                <w:rFonts w:ascii="Arial" w:eastAsia="Times New Roman" w:hAnsi="Arial" w:cs="Arial"/>
                <w:i/>
                <w:noProof/>
                <w:lang w:eastAsia="pt-BR"/>
              </w:rPr>
              <w:t>et al.</w:t>
            </w:r>
            <w:r w:rsidRPr="001C69EC">
              <w:rPr>
                <w:rFonts w:ascii="Arial" w:eastAsia="Times New Roman" w:hAnsi="Arial" w:cs="Arial"/>
                <w:noProof/>
                <w:lang w:eastAsia="pt-BR"/>
              </w:rPr>
              <w:t>, 2014)</w:t>
            </w:r>
            <w:r w:rsidRPr="001C69EC">
              <w:rPr>
                <w:rFonts w:ascii="Arial" w:eastAsia="Times New Roman" w:hAnsi="Arial" w:cs="Arial"/>
                <w:lang w:eastAsia="pt-BR"/>
              </w:rPr>
              <w:fldChar w:fldCharType="end"/>
            </w:r>
            <w:r w:rsidRPr="001C69EC">
              <w:rPr>
                <w:rFonts w:ascii="Arial" w:eastAsia="Times New Roman" w:hAnsi="Arial" w:cs="Arial"/>
                <w:lang w:eastAsia="pt-BR"/>
              </w:rPr>
              <w:t xml:space="preserve"> </w:t>
            </w:r>
          </w:p>
        </w:tc>
      </w:tr>
      <w:tr w:rsidR="001C69EC" w:rsidRPr="001C69EC" w14:paraId="7BB1C0B1" w14:textId="77777777" w:rsidTr="001C69EC">
        <w:trPr>
          <w:trHeight w:val="255"/>
        </w:trPr>
        <w:tc>
          <w:tcPr>
            <w:tcW w:w="6222" w:type="dxa"/>
            <w:noWrap/>
          </w:tcPr>
          <w:p w14:paraId="7A4BE4E3" w14:textId="77777777" w:rsidR="001C69EC" w:rsidRPr="001C69EC" w:rsidRDefault="001C69EC" w:rsidP="00533B63">
            <w:pPr>
              <w:jc w:val="both"/>
              <w:rPr>
                <w:rFonts w:ascii="Arial" w:hAnsi="Arial" w:cs="Arial"/>
              </w:rPr>
            </w:pPr>
            <w:r w:rsidRPr="001C69EC">
              <w:rPr>
                <w:rFonts w:ascii="Arial" w:hAnsi="Arial" w:cs="Arial"/>
              </w:rPr>
              <w:t>Habilidade de conectar as características ambientais e culturais do território ao produto alvo da IG; comunicar essa conexão aos atores locais e consumidores.</w:t>
            </w:r>
          </w:p>
        </w:tc>
        <w:tc>
          <w:tcPr>
            <w:tcW w:w="2562" w:type="dxa"/>
          </w:tcPr>
          <w:p w14:paraId="4C98D991" w14:textId="52CC2CF6" w:rsidR="001C69EC" w:rsidRPr="001C69EC" w:rsidRDefault="001C69EC" w:rsidP="00533B63">
            <w:pPr>
              <w:jc w:val="both"/>
              <w:rPr>
                <w:rFonts w:ascii="Arial" w:hAnsi="Arial" w:cs="Arial"/>
              </w:rPr>
            </w:pPr>
            <w:r w:rsidRPr="001C69EC">
              <w:rPr>
                <w:rFonts w:ascii="Arial" w:eastAsia="Times New Roman" w:hAnsi="Arial" w:cs="Arial"/>
                <w:noProof/>
                <w:lang w:val="en-US" w:eastAsia="pt-BR"/>
              </w:rPr>
              <w:fldChar w:fldCharType="begin" w:fldLock="1"/>
            </w:r>
            <w:r w:rsidRPr="001C69EC">
              <w:rPr>
                <w:rFonts w:ascii="Arial" w:eastAsia="Times New Roman" w:hAnsi="Arial" w:cs="Arial"/>
                <w:noProof/>
                <w:lang w:eastAsia="pt-BR"/>
              </w:rPr>
              <w:instrText>ADDIN CSL_CITATION {"citationItems":[{"id":"ITEM-1","itemData":{"DOI":"10.1016/j.meatsci.2020.108128","ISSN":"03091740","PMID":"32220814","abstract":"Ciauscolo is a fermented sausage with the Protected Geographical Indication (PGI) status. To disclose the microbial ecology of a model Ciauscolo salami manufacture during its natural fermentation, viable counting, amplicon-based sequencing and real-time PCR were applied. The volatilome during fermentation was also characterized. The results allowed previously undetected species to be discovered. The core microbiota was composed by Lactobacillus algidus, Leuconostoc carnosum, Lactobacillus sakei, Debaryomyces hansenii, Glomus hyderabadensis, Tilletiopsis washingtonensis, and Kurtzmaniella zeylanoides. Salmonella spp. and Listeria monocytogenes were absent in all the samples; moreover, multiplex real-time PCR revealed the absence of the target genes bont/A, bont/B, bont/E, bont/F, and 4gyrB (CP), encoding botulinic toxins. Volatilome, deeply depending on microbiological metabolism, was characterized by spices-derived components. Limonene, sabinene, α- and β-pinene, 3-carene, and α-thujene were the most represented monoterpene hydrocarbons, whereas β- and α-copaene were the most represented sesquiterpene hydrocarbons. Allyl methyl sulphide and diallyl disulphide were the major aliphatic sulphur compounds, together with diallyl sulphide and allyl methyl disulphide.","author":[{"dropping-particle":"","family":"Belleggia","given":"Luca","non-dropping-particle":"","parse-names":false,"suffix":""},{"dropping-particle":"","family":"Milanović","given":"Vesna","non-dropping-particle":"","parse-names":false,"suffix":""},{"dropping-particle":"","family":"Ferrocino","given":"Ilario","non-dropping-particle":"","parse-names":false,"suffix":""},{"dropping-particle":"","family":"Cocolin","given":"Luca","non-dropping-particle":"","parse-names":false,"suffix":""},{"dropping-particle":"","family":"Haouet","given":"M. Naceur","non-dropping-particle":"","parse-names":false,"suffix":""},{"dropping-particle":"","family":"Scuota","given":"Stefania","non-dropping-particle":"","parse-names":false,"suffix":""},{"dropping-particle":"","family":"Maoloni","given":"Antonietta","non-dropping-particle":"","parse-names":false,"suffix":""},{"dropping-particle":"","family":"Garofalo","given":"Cristiana","non-dropping-particle":"","parse-names":false,"suffix":""},{"dropping-particle":"","family":"Cardinali","given":"Federica","non-dropping-particle":"","parse-names":false,"suffix":""},{"dropping-particle":"","family":"Aquilanti","given":"Lucia","non-dropping-particle":"","parse-names":false,"suffix":""},{"dropping-particle":"","family":"Mozzon","given":"Massimo","non-dropping-particle":"","parse-names":false,"suffix":""},{"dropping-particle":"","family":"Foligni","given":"Roberta","non-dropping-particle":"","parse-names":false,"suffix":""},{"dropping-particle":"","family":"Pasquini","given":"Marina","non-dropping-particle":"","parse-names":false,"suffix":""},{"dropping-particle":"","family":"Trombetta","given":"Maria Federica","non-dropping-particle":"","parse-names":false,"suffix":""},{"dropping-particle":"","family":"Clementi","given":"Francesca","non-dropping-particle":"","parse-names":false,"suffix":""},{"dropping-particle":"","family":"Osimani","given":"Andrea","non-dropping-particle":"","parse-names":false,"suffix":""}],"container-title":"Meat Science","id":"ITEM-1","issue":"December 2019","issued":{"date-parts":[["2020"]]},"page":"108128","publisher":"Elsevier","title":"Is there any still undisclosed biodiversity in Ciauscolo salami? A new glance into the microbiota of an artisan production as revealed by high-throughput sequencing","type":"article-journal","volume":"165"},"uris":["http://www.mendeley.com/documents/?uuid=7b9a4a89-274a-4112-ba6e-03dfb691ee9e"]},{"id":"ITEM-2","itemData":{"ISSN":"0264-8377","abstract":"&lt;p&gt;•Environmental rules of 107 EU olive-oil geographical indications (GI) are analyzed.•Environmental concerns are not very explicitly considered in Product Specifications.•There appears to exist a ‘greening’ of Product Specifications over time.•Protected GIs play environmentally positive roles, albeit indirectly in many cases.•Public policies can strengthen the environmental role of Protected GIs.&lt;/p&gt; &lt;p&gt;The link between food and the environment constitutes a core issue from the consumer’s point of view and in the political debate. Geographical indication products, due to their association with specific territories and links to specific local resources, can improve economic, social and environmental sustainability.&lt;/p&gt; &lt;p&gt;The present paper investigates the relationship between the legal protection of geographical indications and the environment, analyzing the Product Specifications of the 107 olive-oil geographical indications registered in the European Union....","author":[{"dropping-particle":"","family":"Belletti","given":"Giovanni","non-dropping-particle":"","parse-names":false,"suffix":""},{"dropping-particle":"","family":"Marescotti","given":"Andrea","non-dropping-particle":"","parse-names":false,"suffix":""},{"dropping-particle":"","family":"Sanz-Cañada","given":"Javier","non-dropping-particle":"","parse-names":false,"suffix":""},{"dropping-particle":"","family":"Vakoufaris","given":"Hristos","non-dropping-particle":"","parse-names":false,"suffix":""}],"container-title":"Land Use Policy","id":"ITEM-2","issued":{"date-parts":[["2015"]]},"page":"94-106","publisher":"Elsevier Ltd","title":"Linking protection of geographical indications to the environment: Evidence from the European Union olive-oil sector","type":"article-journal","volume":"48"},"uris":["http://www.mendeley.com/documents/?uuid=9f083e84-a627-4b3e-b020-4d731d0bebf2"]},{"id":"ITEM-3","itemData":{"DOI":"10.1111/j.1549-0831.2009.00007.x","ISSN":"00360112","abstract":"Geographical indications (GIs) are place-based names that conveythe geographical origin, as well as the cultural and historical identity, of agricultural products. GIs are unique, in that they provide ameans of ensuring that control over production and sales of a product stays within a local area, but at the same time they make use of extralocal markets. Although control over GIs largely rests with local actors, GIs are nested in wider regional, national, and international networks; and the passage from local to extralocal markets introduces new costs and benefits and new relations of power into the supply chain. The degree to which GI protection spurs development and protects local environmental and cultural resources depends on the structure of the GI legislation and on the territorial context in which protection is embedded. Using a commodity-chains approach, I compare two GI production systems, tequila in Mexico and Comté cheese in France, in order to develop a theory of the factors that contribute to more sustainable, equitable GI production systems. I argue that three key differences in the design of the GI schemes help to explain the varying effects of the two cases: (1) the manner in which supply-chain actors define quality, (2) the way that the GI valorizes the terroir of the region, and (3) the strength and cohesion that the collective organizing body exhibits. Moreover, the institutional and political context in which GI supply chains \"touch down\" plays a critical role. Contrary to a conceptualization of GIs as compatible with a purely market-oriented model, my comparison of these two cases indicates that some level of state involvement, in order to level the playing field and empower small farmers, is a necessary, although not sufficient, precondition for successful and sustainable GIs. © 2010, by the Rural Sociological Society.","author":[{"dropping-particle":"","family":"Bowen","given":"Sarah","non-dropping-particle":"","parse-names":false,"suffix":""}],"container-title":"Rural Sociology","id":"ITEM-3","issue":"2","issued":{"date-parts":[["2010"]]},"page":"209-243","title":"Embedding local places in global spaces: Geographical indications as a territorial development strategy","type":"article-journal","volume":"75"},"uris":["http://www.mendeley.com/documents/?uuid=41288291-e66a-433d-bd5a-6912780c5c96"]},{"id":"ITEM-4","itemData":{"DOI":"10.1016/j.jrurstud.2008.07.003","ISSN":"07430167","abstract":"In this paper, we use the case of tequila to examine the potential for geographical indications (GIs) to contribute to socioeconomic and environmental sustainability. GIs are place-based names (e.g., Champagne, Roquefort) that convey the geographical origin, as well as the cultural and historical identity, of agricultural products. The GI for tequila was established by the Mexican government in 1974, making it the oldest GI, and one of the best-recognized, outside of Europe. Here, we examine the social, economic, and ecological impacts that the agave-tequila industry has had on one community in tequila's region of origin, the town of Amatitán. We show that persistent cycles of surplus and shortage of agave and changing production relations in the agave-tequila industry have led to: (1) economic insecurity among farm households; (2) increased use of chemical inputs, at the expense of more labor-intensive cultivation practices; and (3) overall declines in fertilizer application, especially during periods in which there is a surplus of agave. We argue that the negative effects of the agave-tequila industry on the local economy and environment are due to the failure of the GI for tequila to value the ways in which the terroir of tequila's region of origin have contributed to its specific properties. We conclude by using this case to discuss more generally the relationship between the protection of place-based products (known collectively as geographical indications) and social and environmental sustainability. © 2008 Elsevier Ltd. All rights reserved.","author":[{"dropping-particle":"","family":"Bowen","given":"Sarah","non-dropping-particle":"","parse-names":false,"suffix":""},{"dropping-particle":"","family":"Zapata","given":"Ana Valenzuela","non-dropping-particle":"","parse-names":false,"suffix":""}],"container-title":"Journal of Rural Studies","id":"ITEM-4","issue":"1","issued":{"date-parts":[["2009"]]},"page":"108-119","publisher":"Elsevier Ltd","title":"Geographical indications, terroir, and socioeconomic and ecological sustainability: The case of tequila","type":"article-journal","volume":"25"},"uris":["http://www.mendeley.com/documents/?uuid=3463ac19-4add-4f2f-890a-50bff2fd4dcf"]},{"id":"ITEM-5","itemData":{"DOI":"10.1007/s10531-019-01908-3","ISBN":"0123456789","ISSN":"15729710","abstract":"This paper reports the results of a survey carried out in the Foggia province (Puglia Region, Italy) with the aims of: (1) assessing the level of diversity and distribution of the on-farm vegetable landraces, (2) identifying vegetable landrace-rich areas, and (3) analysing the main agro-ecological, socio-economic factors affecting their maintenance. Several territorial surveys were performed over four years and a total of 163 vegetable crop landraces were found at 52 sites, mostly cultivated on small farms or home gardens by elderly farmers. The surveyed landraces belong to nine botanical families and 34 species, with the highest number for Solanaceae, Cucurbitaceae, Brassicaceae, Liliaceae and Leguminosae. The diversity status of the landraces was evaluated by adopting a landscape scale approach considering the provincial landscape types (LT) (3) and, within each LT, the landscape units (LU) accounting for the incidence of high-productive and marginal agricultural systems and of natural/seminatural systems. Principal component analysis clearly separated one landscape unit for each LT for their higher abundance of landraces and higher diversity, richness and evenness of species. These LUs are characterized by high-ecological and agricultural marginal land where the low fertility of soil seems conducive to landraces maintenance. Additionally, the preservation of vegetable diversity may be linked to the distance of the surveyed sites from the most important urban centres along with the commitment of local people and/or tourists to traditional products and their related cultural aspects.","author":[{"dropping-particle":"","family":"Conversa","given":"Giulia","non-dropping-particle":"","parse-names":false,"suffix":""},{"dropping-particle":"","family":"Lazzizera","given":"Corrado","non-dropping-particle":"","parse-names":false,"suffix":""},{"dropping-particle":"","family":"Bonasia","given":"Anna","non-dropping-particle":"","parse-names":false,"suffix":""},{"dropping-particle":"","family":"Cifarelli","given":"Salvatore","non-dropping-particle":"","parse-names":false,"suffix":""},{"dropping-particle":"","family":"Losavio","given":"Francesco","non-dropping-particle":"","parse-names":false,"suffix":""},{"dropping-particle":"","family":"Sonnante","given":"Gabriella","non-dropping-particle":"","parse-names":false,"suffix":""},{"dropping-particle":"","family":"Elia","given":"Antonio","non-dropping-particle":"","parse-names":false,"suffix":""}],"container-title":"Biodiversity and Conservation","id":"ITEM-5","issue":"3","issued":{"date-parts":[["2020"]]},"page":"747-770","publisher":"Springer Netherlands","title":"Exploring on-farm agro-biodiversity: a study case of vegetable landraces from Puglia region (Italy)","type":"article-journal","volume":"29"},"uris":["http://www.mendeley.com/documents/?uuid=e0678496-9065-45a9-acea-e059874d2949"]},{"id":"ITEM-6","itemData":{"DOI":"10.1007/s13213-015-1090-5","ISBN":"1321301510","ISSN":"18692044","abstract":"The aim of this work was to study the biodiversity of cultivable non-Saccharomyces yeasts isolated from the autochthonous wine variety ‘Uva di Troia’ from the North-Apulian region during vintages 2012 and 2013. Grapes were collected in vineyards from four different geographical areas on which four different wines with the status of geographical indication are produced. Different restriction profiles of ITS–5.8S rDNA regions, corresponding to those of Candida boidinii, Candida zemplinina, Hanseniaspora guilliermondii, Issatchenkia terricola, Zygosaccharomyces bailii, Hanseniaspora uvarum, Zygoascus hellenicus and Hanseniaspora opuntiae, were observed. The most abundant genera were represented by Hanseniasporaguilliermondii and Candida zemplinina. Significant differences among locations and vintages were observed. This first report on non-Saccharomyces diversity during the early steps of spontaneous alcoholic fermentation of Nero di Troia wines provides the basis for an improved management of non-Saccharomyces in typical Apulian wines, which will be important for the development of the local wine industry and to achieve an enhanced standard of safety in the final production.","author":[{"dropping-particle":"","family":"Garofalo","given":"Carmela","non-dropping-particle":"","parse-names":false,"suffix":""},{"dropping-particle":"","family":"Russo","given":"Pasquale","non-dropping-particle":"","parse-names":false,"suffix":""},{"dropping-particle":"","family":"Beneduce","given":"Luciano","non-dropping-particle":"","parse-names":false,"suffix":""},{"dropping-particle":"","family":"Massa","given":"Salvatore","non-dropping-particle":"","parse-names":false,"suffix":""},{"dropping-particle":"","family":"Spano","given":"Giuseppe","non-dropping-particle":"","parse-names":false,"suffix":""},{"dropping-particle":"","family":"Capozzi","given":"Vittorio","non-dropping-particle":"","parse-names":false,"suffix":""}],"container-title":"Annals of Microbiology","id":"ITEM-6","issue":"1","issued":{"date-parts":[["2016"]]},"page":"143-150","title":"Non-Saccharomyces biodiversity in wine and the ‘microbial terroir’: a survey on Nero di Troia wine from the Apulian region, Italy","type":"article-journal","volume":"66"},"uris":["http://www.mendeley.com/documents/?uuid=6387d668-1d05-4558-9ab3-8cf8dc634d13"]},{"id":"ITEM-7","itemData":{"DOI":"10.3390/agriculture8070105","ISSN":"20770472","abstract":"This study attempts, above all, to provide a summary, on a strictly scientific basis, about the strategies of conservation of autochthonous agrobiodiversity followed in Italy. A special focus is dedicated to vegetables and, therefore, could represent a contribution to improve the national strategy for the safeguarding of its agrobiodiversity in general. The paper offers also an outlook on the most critical factors of ex situ conservation and actions which need to be taken. Some examples of ‘novel’ recovered neglected crops are also given. Finally a case study is proposed on ‘Mugnolicchio’, a neglected race of Brassica oleracea L., cultivated in Altamura (Ba) in southern Italy, that might be considered as an early step in the evolution of broccoli (B. oleracea L. var. italica Plenck) like ‘Mugnoli’ another neglected race described from Salento (Apulia).","author":[{"dropping-particle":"","family":"Hammer","given":"Karl","non-dropping-particle":"","parse-names":false,"suffix":""},{"dropping-particle":"","family":"Montesano","given":"Vincenzo","non-dropping-particle":"","parse-names":false,"suffix":""},{"dropping-particle":"","family":"Direnzo","given":"Paolo","non-dropping-particle":"","parse-names":false,"suffix":""},{"dropping-particle":"","family":"Laghetti","given":"Gaetano","non-dropping-particle":"","parse-names":false,"suffix":""}],"container-title":"Agriculture (Switzerland)","id":"ITEM-7","issue":"7","issued":{"date-parts":[["2018"]]},"title":"Conservation of crop genetic resources in Italy with a focus on vegetables and a case study of a neglected race of brassica oleracea","type":"article-journal","volume":"8"},"uris":["http://www.mendeley.com/documents/?uuid=f817dbae-8995-465d-831b-60ba6305cdac"]},{"id":"ITEM-8","itemData":{"DOI":"10.1016/j.landusepol.2014.10.009","ISSN":"02648377","abstract":"Consumers express a growing interest for local and quality foods certified by their origin and their environmental production standards. This has led to the emergence of certified products meeting sustainability criteria. Because consumers are willing to pay a price premium for sustainably produced commodities, these certifications act as market-based instruments to promote sustainable land use. Among Geographical Indications (GIs) labels, the two European Union GIs - called Protection of Designation of Origin (PDO) and Protection of Geographical Indication (PGI) - can be considered as agricultural product certification. These GIs identify a good as originating from a region where a given quality, reputation or other characteristic of the good is attributable to its geographical origin. Land use is potentially affected by GIs because product characteristics are associated with the biophysical attributes of the terroir and some product specifications relate to land management practices. Little empirical evidence substantiates the claim that GIs have an impact on land use. The objective of this study was to understand whether Geographical Indications are an effective market-based instrument to promote conservation of extensive land use practices in marginal mountain areas. We conducted farm surveys along a gradient of GI requirements for the following similar cheese products: Tomme de Savoie PGI, Tomme de Savoie EQC, and Tome des Bauges PDO. We tested the hypothesis that the more stringent PDO requirements were associated with more extensive agricultural practices and provided more benefits to farmers. Results showed that the strict standards of PGI and PDO are associated with greater benefits for farmers and more extensive agricultural practices. In comparison to PGI farmers, PDO farmers obtain higher price premiums and gain more knowledge. More extensive practices are observed on PDO farms but the differences between labels are minor. Our results also reveal a great variability in agricultural practices among farms of a same label. Farmers have various motivations for labelling their product.","author":[{"dropping-particle":"","family":"Lamarque","given":"Pénélope","non-dropping-particle":"","parse-names":false,"suffix":""},{"dropping-particle":"","family":"Lambin","given":"Eric F.","non-dropping-particle":"","parse-names":false,"suffix":""}],"container-title":"Land Use Policy","id":"ITEM-8","issued":{"date-parts":[["2015"]]},"page":"706-717","publisher":"Elsevier Ltd","title":"The effectiveness of marked-based instruments to foster the conservation of extensive land use: The case of Geographical Indications in the French Alps","type":"article-journal","volume":"42"},"uris":["http://www.mendeley.com/documents/?uuid=e6e64e9b-53ea-4441-9dce-939972095067"]}],"mendeley":{"formattedCitation":"(BELLEGGIA &lt;i&gt;et al.&lt;/i&gt;, 2020; BELLETTI &lt;i&gt;et al.&lt;/i&gt;, 2015; BOWEN, 2010; BOWEN; ZAPATA, 2009; CONVERSA &lt;i&gt;et al.&lt;/i&gt;, 2020; GAROFALO &lt;i&gt;et al.&lt;/i&gt;, 2016; HAMMER &lt;i&gt;et al.&lt;/i&gt;, 2018; LAMARQUE; LAMBIN, 2015)","plainTextFormattedCitation":"(BELLEGGIA et al., 2020; BELLETTI et al., 2015; BOWEN, 2010; BOWEN; ZAPATA, 2009; CONVERSA et al., 2020; GAROFALO et al., 2016; HAMMER et al., 2018; LAMARQUE; LAMBIN, 2015)","previouslyFormattedCitation":"(BELLEGGIA &lt;i&gt;et al.&lt;/i&gt;, 2020; BELLETTI &lt;i&gt;et al.&lt;/i&gt;, 2015; BOWEN, 2010b; BOWEN; ZAPATA, 2009; CONVERSA &lt;i&gt;et al.&lt;/i&gt;, 2020; GAROFALO &lt;i&gt;et al.&lt;/i&gt;, 2016; HAMMER &lt;i&gt;et al.&lt;/i&gt;, 2018; LAMARQUE; LAMBIN, 2015)"},"properties":{"noteIndex":0},"schema":"https://github.com/citation-style-language/schema/raw/master/csl-citation.json"}</w:instrText>
            </w:r>
            <w:r w:rsidRPr="001C69EC">
              <w:rPr>
                <w:rFonts w:ascii="Arial" w:eastAsia="Times New Roman" w:hAnsi="Arial" w:cs="Arial"/>
                <w:noProof/>
                <w:lang w:val="en-US" w:eastAsia="pt-BR"/>
              </w:rPr>
              <w:fldChar w:fldCharType="separate"/>
            </w:r>
            <w:r w:rsidRPr="001C69EC">
              <w:rPr>
                <w:rFonts w:ascii="Arial" w:eastAsia="Times New Roman" w:hAnsi="Arial" w:cs="Arial"/>
                <w:noProof/>
                <w:lang w:eastAsia="pt-BR"/>
              </w:rPr>
              <w:t xml:space="preserve">(BELLEGGIA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2020; BELLETTI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2015; BOWEN, 2010; BOWEN; ZAPATA, 2009; CONVERSA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2020; GAROFALO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2016; HAMMER </w:t>
            </w:r>
            <w:r w:rsidRPr="001C69EC">
              <w:rPr>
                <w:rFonts w:ascii="Arial" w:eastAsia="Times New Roman" w:hAnsi="Arial" w:cs="Arial"/>
                <w:i/>
                <w:noProof/>
                <w:lang w:eastAsia="pt-BR"/>
              </w:rPr>
              <w:t>et al.</w:t>
            </w:r>
            <w:r w:rsidRPr="001C69EC">
              <w:rPr>
                <w:rFonts w:ascii="Arial" w:eastAsia="Times New Roman" w:hAnsi="Arial" w:cs="Arial"/>
                <w:noProof/>
                <w:lang w:eastAsia="pt-BR"/>
              </w:rPr>
              <w:t>, 2018; LAMARQUE; LAMBIN, 2015)</w:t>
            </w:r>
            <w:r w:rsidRPr="001C69EC">
              <w:rPr>
                <w:rFonts w:ascii="Arial" w:eastAsia="Times New Roman" w:hAnsi="Arial" w:cs="Arial"/>
                <w:noProof/>
                <w:lang w:val="en-US" w:eastAsia="pt-BR"/>
              </w:rPr>
              <w:fldChar w:fldCharType="end"/>
            </w:r>
          </w:p>
          <w:p w14:paraId="1EDF6851" w14:textId="77777777" w:rsidR="001C69EC" w:rsidRPr="001C69EC" w:rsidRDefault="001C69EC" w:rsidP="00533B63">
            <w:pPr>
              <w:jc w:val="both"/>
              <w:rPr>
                <w:rFonts w:ascii="Arial" w:hAnsi="Arial" w:cs="Arial"/>
              </w:rPr>
            </w:pPr>
          </w:p>
        </w:tc>
      </w:tr>
      <w:tr w:rsidR="001C69EC" w:rsidRPr="001C69EC" w14:paraId="20A2F982" w14:textId="77777777" w:rsidTr="001C69EC">
        <w:trPr>
          <w:trHeight w:val="255"/>
        </w:trPr>
        <w:tc>
          <w:tcPr>
            <w:tcW w:w="6222" w:type="dxa"/>
            <w:noWrap/>
          </w:tcPr>
          <w:p w14:paraId="6D3A3B43" w14:textId="77777777" w:rsidR="001C69EC" w:rsidRPr="001C69EC" w:rsidRDefault="001C69EC" w:rsidP="00533B63">
            <w:pPr>
              <w:jc w:val="both"/>
              <w:rPr>
                <w:rFonts w:ascii="Arial" w:hAnsi="Arial" w:cs="Arial"/>
              </w:rPr>
            </w:pPr>
            <w:r w:rsidRPr="001C69EC">
              <w:rPr>
                <w:rFonts w:ascii="Arial" w:hAnsi="Arial" w:cs="Arial"/>
              </w:rPr>
              <w:t>Inserção de objetivos ambientais na especificação da IG; existência de normas claras, passíveis de serem aplicadas e verificadas.</w:t>
            </w:r>
          </w:p>
        </w:tc>
        <w:tc>
          <w:tcPr>
            <w:tcW w:w="2562" w:type="dxa"/>
          </w:tcPr>
          <w:p w14:paraId="6E006802" w14:textId="4EBF1D28" w:rsidR="001C69EC" w:rsidRPr="001C69EC" w:rsidRDefault="001C69EC" w:rsidP="00533B63">
            <w:pPr>
              <w:jc w:val="both"/>
              <w:rPr>
                <w:rFonts w:ascii="Arial" w:hAnsi="Arial" w:cs="Arial"/>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{"citationItems":[{"id":"ITEM-1","itemData":{"DOI":"10.1111/j.1549-0831.2009.00007.x","ISSN":"00360112","abstract":"Geographical indications (GIs) are place-based names that conveythe geographical origin, as well as the cultural and historical identity, of agricultural products. GIs are unique, in that they provide ameans of ensuring that control over production and sales of a product stays within a local area, but at the same time they make use of extralocal markets. Although control over GIs largely rests with local actors, GIs are nested in wider regional, national, and international networks; and the passage from local to extralocal markets introduces new costs and benefits and new relations of power into the supply chain. The degree to which GI protection spurs development and protects local environmental and cultural resources depends on the structure of the GI legislation and on the territorial context in which protection is embedded. Using a commodity-chains approach, I compare two GI production systems, tequila in Mexico and Comté cheese in France, in order to develop a theory of the factors that contribute to more sustainable, equitable GI production systems. I argue that three key differences in the design of the GI schemes help to explain the varying effects of the two cases: (1) the manner in which supply-chain actors define quality, (2) the way that the GI valorizes the terroir of the region, and (3) the strength and cohesion that the collective organizing body exhibits. Moreover, the institutional and political context in which GI supply chains \"touch down\" plays a critical role. Contrary to a conceptualization of GIs as compatible with a purely market-oriented model, my comparison of these two cases indicates that some level of state involvement, in order to level the playing field and empower small farmers, is a necessary, although not sufficient, precondition for successful and sustainable GIs. © 2010, by the Rural Sociological Society.","author":[{"dropping-particle":"","family":"Bowen","given":"Sarah","non-dropping-particle":"","parse-names":false,"suffix":""}],"container-title":"Rural Sociology","id":"ITEM-1","issue":"2","issued":{"date-parts":[["2010"]]},"page":"209-243","title":"Embedding local places in global spaces: Geographical indications as a territorial development strategy","type":"article-journal","volume":"75"},"uris":["http://www.mendeley.com/documents/?uuid=41288291-e66a-433d-bd5a-6912780c5c96"]},{"id":"ITEM-2","itemData":{"DOI":"10.1016/j.meatsci.2020.108128","ISSN":"03091740","PMID":"32220814","abstract":"Ciauscolo is a fermented sausage with the Protected Geographical Indication (PGI) status. To disclose the microbial ecology of a model Ciauscolo salami manufacture during its natural fermentation, viable counting, amplicon-based sequencing and real-time PCR were applied. The volatilome during fermentation was also characterized. The results allowed previously undetected species to be discovered. The core microbiota was composed by Lactobacillus algidus, Leuconostoc carnosum, Lactobacillus sakei, Debaryomyces hansenii, Glomus hyderabadensis, Tilletiopsis washingtonensis, and Kurtzmaniella zeylanoides. Salmonella spp. and Listeria monocytogenes were absent in all the samples; moreover, multiplex real-time PCR revealed the absence of the target genes bont/A, bont/B, bont/E, bont/F, and 4gyrB (CP), encoding botulinic toxins. Volatilome, deeply depending on microbiological metabolism, was characterized by spices-derived components. Limonene, sabinene, α- and β-pinene, 3-carene, and α-thujene were the most represented monoterpene hydrocarbons, whereas β- and α-copaene were the most represented sesquiterpene hydrocarbons. Allyl methyl sulphide and diallyl disulphide were the major aliphatic sulphur compounds, together with diallyl sulphide and allyl methyl disulphide.","author":[{"dropping-particle":"","family":"Belleggia","given":"Luca","non-dropping-particle":"","parse-names":false,"suffix":""},{"dropping-particle":"","family":"Milanović","given":"Vesna","non-dropping-particle":"","parse-names":false,"suffix":""},{"dropping-particle":"","family":"Ferrocino","given":"Ilario","non-dropping-particle":"","parse-names":false,"suffix":""},{"dropping-particle":"","family":"Cocolin","given":"Luca","non-dropping-particle":"","parse-names":false,"suffix":""},{"dropping-particle":"","family":"Haouet","given":"M. Naceur","non-dropping-particle":"","parse-names":false,"suffix":""},{"dropping-particle":"","family":"Scuota","given":"Stefania","non-dropping-particle":"","parse-names":false,"suffix":""},{"dropping-particle":"","family":"Maoloni","given":"Antonietta","non-dropping-particle":"","parse-names":false,"suffix":""},{"dropping-particle":"","family":"Garofalo","given":"Cristiana","non-dropping-particle":"","parse-names":false,"suffix":""},{"dropping-particle":"","family":"Cardinali","given":"Federica","non-dropping-particle":"","parse-names":false,"suffix":""},{"dropping-particle":"","family":"Aquilanti","given":"Lucia","non-dropping-particle":"","parse-names":false,"suffix":""},{"dropping-particle":"","family":"Mozzon","given":"Massimo","non-dropping-particle":"","parse-names":false,"suffix":""},{"dropping-particle":"","family":"Foligni","given":"Roberta","non-dropping-particle":"","parse-names":false,"suffix":""},{"dropping-particle":"","family":"Pasquini","given":"Marina","non-dropping-particle":"","parse-names":false,"suffix":""},{"dropping-particle":"","family":"Trombetta","given":"Maria Federica","non-dropping-particle":"","parse-names":false,"suffix":""},{"dropping-particle":"","family":"Clementi","given":"Francesca","non-dropping-particle":"","parse-names":false,"suffix":""},{"dropping-particle":"","family":"Osimani","given":"Andrea","non-dropping-particle":"","parse-names":false,"suffix":""}],"container-title":"Meat Science","id":"ITEM-2","issue":"December 2019","issued":{"date-parts":[["2020"]]},"page":"108128","publisher":"Elsevier","title":"Is there any still undisclosed biodiversity in Ciauscolo salami? A new glance into the microbiota of an artisan production as revealed by high-throughput sequencing","type":"article-journal","volume":"165"},"uris":["http://www.mendeley.com/documents/?uuid=7b9a4a89-274a-4112-ba6e-03dfb691ee9e"]},{"id":"ITEM-3","itemData":{"ISSN":"0264-8377","abstract":"&lt;p&gt;•Environmental rules of 107 EU olive-oil geographical indications (GI) are analyzed.•Environmental concerns are not very explicitly considered in Product Specifications.•There appears to exist a ‘greening’ of Product Specifications over time.•Protected GIs play environmentally positive roles, albeit indirectly in many cases.•Public policies can strengthen the environmental role of Protected GIs.&lt;/p&gt; &lt;p&gt;The link between food and the environment constitutes a core issue from the consumer’s point of view and in the political debate. Geographical indication products, due to their association with specific territories and links to specific local resources, can improve economic, social and environmental sustainability.&lt;/p&gt; &lt;p&gt;The present paper investigates the relationship between the legal protection of geographical indications and the environment, analyzing the Product Specifications of the 107 olive-oil geographical indications registered in the European Union....","author":[{"dropping-particle":"","family":"Belletti","given":"Giovanni","non-dropping-particle":"","parse-names":false,"suffix":""},{"dropping-particle":"","family":"Marescotti","given":"Andrea","non-dropping-particle":"","parse-names":false,"suffix":""},{"dropping-particle":"","family":"Sanz-Cañada","given":"Javier","non-dropping-particle":"","parse-names":false,"suffix":""},{"dropping-particle":"","family":"Vakoufaris","given":"Hristos","non-dropping-particle":"","parse-names":false,"suffix":""}],"container-title":"Land Use Policy","id":"ITEM-3","issued":{"date-parts":[["2015"]]},"page":"94-106","publisher":"Elsevier Ltd","title":"Linking protection of geographical indications to the environment: Evidence from the European Union olive-oil sector","type":"article-journal","volume":"48"},"uris":["http://www.mendeley.com/documents/?uuid=9f083e84-a627-4b3e-b020-4d731d0bebf2"]},{"id":"ITEM-4","itemData":{"DOI":"10.1659/mrd.0922","ISSN":"02764741","abstract":"A geographical indication (GI) is a form of protection highlighted in the Trade Related Aspects of Intellectual Property Rights (TRIPS) Agreement of the World Trade Organization (WTO). It protects intangible economic assets such as the quality and reputation of a product through market differentiation. It is considered a promising tool at the international level to maintain multifunctionality in rural landscapes and involve local populations in biodiversity management and conservation. Using the example of an existing GI for Coorg orange, a crop frequently associated with coffee agroforestry systems in the mountain region of Kodagu (Western Ghats, India), we discuss how a GI can successfully used by local producers and what conditions are needed for it to have a positive impact on the landscape and its associated biodiversity.","author":[{"dropping-particle":"","family":"Garcia","given":"Claude","non-dropping-particle":"","parse-names":false,"suffix":""},{"dropping-particle":"","family":"Marie-Vivien","given":"Delphine","non-dropping-particle":"","parse-names":false,"suffix":""},{"dropping-particle":"","family":"Kushalappa","given":"Chepudira G.","non-dropping-particle":"","parse-names":false,"suffix":""},{"dropping-particle":"","family":"Chengappa","given":"P. G.","non-dropping-particle":"","parse-names":false,"suffix":""},{"dropping-particle":"","family":"Nanaya","given":"K. M.","non-dropping-particle":"","parse-names":false,"suffix":""}],"container-title":"Mountain Research and Development","id":"ITEM-4","issue":"3","issued":{"date-parts":[["2007"]]},"page":"206-210","title":"Geographical indications and biodiversity in the Western Ghats, India: Can labelling benefit producers and the environment in a mountain agroforestry landscape?","type":"article-journal","volume":"27"},"uris":["http://www.mendeley.com/documents/?uuid=a430fe74-5b5b-4c41-87bf-e5677f11ca03"]},{"id":"ITEM-5","itemData":{"abstract":"La notion d'Indication Géographique $\\$(IG$\\$) exposée par l'Organisation mondiale du commerce, identifie les lignes directrices spécifiques de qualité et protège les aliments, boissons et autres produits de la concurrence, en fonction de leur origine géographique ou lieu spécifique. Au Mexique, les IG sont connues comme Dénominations d'Origine $\\$(DO$\\$), et en 1974, la téquila a été reconnue comme le premier produit mexicain de DO. En 1994, le gouvernement mexicain a créé une DO pour la catégorie des boissons d'agave distillé, le mezcal. Dans l'État de Jalisco, au Mexique, il existe plusieurs types de mezcal, mais quelques-uns seulement sont reconnus sous la réglementation DO. Bien que fabriqués artisanalement dans le Jalisco depuis des siècles, de nombreux mezcals, comme la raicilla, ne sont pas protégés par le système DO. Les fabricants traditionnels, qui sont souvent eux-mêmes cultivateurs d'agaves, jouent un rôle important dans le maintien des ressources écologiques de la région. Nous nous sommes intéressées à trois boissons $\\$(téquila, raicilla et mezcal$\\$), chacune produite dans le Jalisco, au Mexique, pour étudier comment les différents acteurs sociaux négocient les questions relatives à la biodiversité. En particulier, nous attirons l'attention sur les fabrications artisanales de ces boissons et les traditions humaines qui soutiennent le développement durable. De plus, nous mettons l'accent sur un ensemble d'espèces d'agaves $\\$(sauvages et cultivés$\\$), utilisés à la fois par des grands producteurs et par d'autres sur de plus petites surfaces, en tenant compte de la diversité des agaves et de leurs efforts pour se maintenir sur le marché des spiritueux. Plus précisément, nous posons les questions suivantes : Quelles sont les espèces d'agaves actuellement utilisées à la fois par les grands et les petits fabricants de téquila et de mezcal dans l'État de Jalisco? Quelles sont les conditions permettant une utilisation plus importante de biodiversité spécifique et variétale indigènes? Comme nous le montrons, les producteurs artisanaux sont plus susceptibles d'utiliser des espèces variées d'agaves dans la fabrication de leurs boissons distillées. Mais les pressions pour moderniser leurs méthodes de production menacent la diversité écologique et culturelle de ces produits du terroir.Outlined by the World Trade Organization, Geographical Indication $\\$(GI$\\$) designations identify specific quality guidelines and protect foods, drinks, and other pro…","author":[{"dropping-particle":"","family":"Zapata","given":"Ana G Valenzuela","non-dropping-particle":"","parse-names":false,"suffix":""},{"dropping-particle":"","family":"Gaytán","given":"Marie Sarita","non-dropping-particle":"","parse-names":false,"suffix":""}],"id":"ITEM-5","issued":{"date-parts":[["2019"]]},"page":"0-19","title":"Sustaining Biological and Cultural Diversity","type":"article-journal"},"uris":["http://www.mendeley.com/documents/?uuid=9d8dc832-3f29-439d-83bc-fbc001fb8f8c"]}],"mendeley":{"formattedCitation":"(BELLEGGIA &lt;i&gt;et al.&lt;/i&gt;, 2020; BELLETTI &lt;i&gt;et al.&lt;/i&gt;, 2015; BOWEN, 2010; GARCIA &lt;i&gt;et al.&lt;/i&gt;, 2007; ZAPATA; GAYTÁN, 2019)","plainTextFormattedCitation":"(BELLEGGIA et al., 2020; BELLETTI et al., 2015; BOWEN, 2010; GARCIA et al., 2007; ZAPATA; GAYTÁN, 2019)","previouslyFormattedCitation":"(BELLEGGIA &lt;i&gt;et al.&lt;/i&gt;, 2020; BELLETTI &lt;i&gt;et al.&lt;/i&gt;, 2015; BOWEN, 2010b; GARCIA &lt;i&gt;et al.&lt;/i&gt;, 2007; ZAPATA; GAYTÁN, 2019)"},"properties":{"noteIndex":0},"schema":"https://github.com/citation-style-language/schema/raw/master/csl-citation.json"}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(BELLEGGIA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2020; BELLETTI </w:t>
            </w:r>
            <w:r w:rsidRPr="001C69EC">
              <w:rPr>
                <w:rFonts w:ascii="Arial" w:eastAsia="Times New Roman" w:hAnsi="Arial" w:cs="Arial"/>
                <w:i/>
                <w:noProof/>
                <w:lang w:eastAsia="pt-BR"/>
              </w:rPr>
              <w:t>et al.</w:t>
            </w:r>
            <w:r w:rsidRPr="001C69EC">
              <w:rPr>
                <w:rFonts w:ascii="Arial" w:eastAsia="Times New Roman" w:hAnsi="Arial" w:cs="Arial"/>
                <w:noProof/>
                <w:lang w:eastAsia="pt-BR"/>
              </w:rPr>
              <w:t xml:space="preserve">, 2015; BOWEN, 2010; GARCIA </w:t>
            </w:r>
            <w:r w:rsidRPr="001C69EC">
              <w:rPr>
                <w:rFonts w:ascii="Arial" w:eastAsia="Times New Roman" w:hAnsi="Arial" w:cs="Arial"/>
                <w:i/>
                <w:noProof/>
                <w:lang w:eastAsia="pt-BR"/>
              </w:rPr>
              <w:t>et al.</w:t>
            </w:r>
            <w:r w:rsidRPr="001C69EC">
              <w:rPr>
                <w:rFonts w:ascii="Arial" w:eastAsia="Times New Roman" w:hAnsi="Arial" w:cs="Arial"/>
                <w:noProof/>
                <w:lang w:eastAsia="pt-BR"/>
              </w:rPr>
              <w:t>, 2007; ZAPATA; GAYTÁN, 2019)</w:t>
            </w:r>
            <w:r w:rsidRPr="001C69EC">
              <w:rPr>
                <w:rFonts w:ascii="Arial" w:eastAsia="Times New Roman" w:hAnsi="Arial" w:cs="Arial"/>
                <w:lang w:eastAsia="pt-BR"/>
              </w:rPr>
              <w:fldChar w:fldCharType="end"/>
            </w:r>
            <w:r w:rsidRPr="001C69EC">
              <w:rPr>
                <w:rFonts w:ascii="Arial" w:hAnsi="Arial" w:cs="Arial"/>
              </w:rPr>
              <w:t xml:space="preserve"> </w:t>
            </w:r>
          </w:p>
        </w:tc>
      </w:tr>
      <w:tr w:rsidR="001C69EC" w:rsidRPr="001C69EC" w14:paraId="010C53EE" w14:textId="77777777" w:rsidTr="001C69EC">
        <w:trPr>
          <w:trHeight w:val="255"/>
        </w:trPr>
        <w:tc>
          <w:tcPr>
            <w:tcW w:w="6222" w:type="dxa"/>
            <w:noWrap/>
          </w:tcPr>
          <w:p w14:paraId="274AAF8B" w14:textId="77777777" w:rsidR="001C69EC" w:rsidRPr="001C69EC" w:rsidRDefault="001C69EC" w:rsidP="00533B63">
            <w:pPr>
              <w:jc w:val="both"/>
              <w:rPr>
                <w:rFonts w:ascii="Arial" w:hAnsi="Arial" w:cs="Arial"/>
              </w:rPr>
            </w:pPr>
            <w:r w:rsidRPr="001C69EC">
              <w:rPr>
                <w:rFonts w:ascii="Arial" w:hAnsi="Arial" w:cs="Arial"/>
              </w:rPr>
              <w:lastRenderedPageBreak/>
              <w:t>Assistência técnica apropriada, com valorização de técnicas ambientalmente mais favoráveis e respeito ao conhecimento e às técnicas tradicionais; técnicas apropriadas à pequena escala produtiva; formação de profissionais para atuarem com esse viés na extensão rural.</w:t>
            </w:r>
          </w:p>
        </w:tc>
        <w:tc>
          <w:tcPr>
            <w:tcW w:w="2562" w:type="dxa"/>
          </w:tcPr>
          <w:p w14:paraId="773D2DA0" w14:textId="4B537E6F" w:rsidR="001C69EC" w:rsidRPr="001C69EC" w:rsidRDefault="001C69EC" w:rsidP="00533B63">
            <w:pPr>
              <w:jc w:val="both"/>
              <w:rPr>
                <w:rFonts w:ascii="Arial" w:hAnsi="Arial" w:cs="Arial"/>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{"citationItems":[{"id":"ITEM-1","itemData":{"DOI":"10.1111/j.1468-2451.2006.00592.x","ISSN":"00208701","abstract":"The debate and negotiations in progress at the international level concerning the protection of geographical indications (GI) are of direct interest to the local agricultural products and foodstuffs called terroir products. Beyond the protection of the use of their name, which is the founding principle of this system, and the legal and economic considerations this system implies, new questions are being raised about these products concerning the diversification of farming and sustainable development. More and more, and in a favourable context, another major issue is becoming apparent: the biological and cultural diversity linked to these products. This questioning concerns the status and the future of these local resources in our societies and whether or not GIs can help maintain this diversity. Protecting local and traditional products through the GI system can contribute to conserving biodiversity at various levels: domestic animal breeds, plant varieties, microbial ecosystems, and landscapes. This is also a way of maintaining in a formal way shared knowledge and practices, since they underpin the protected resource. Taking account of these elements offers an opportunity to think about agriculture differently and leads us to propose an innovative approach to local products. Several examples taken in France will help show how links can be established between the protection of GI, cultural biodiversity, and local knowledge. © UNESCO 2006.","author":[{"dropping-particle":"","family":"Bérard","given":"Laurence","non-dropping-particle":"","parse-names":false,"suffix":""},{"dropping-particle":"","family":"Marchenay","given":"Philippe","non-dropping-particle":"","parse-names":false,"suffix":""}],"container-title":"International Social Science Journal","id":"ITEM-1","issue":"187","issued":{"date-parts":[["2006"]]},"page":"109-116","title":"Local products and geographical indications: Taking account of local knowledge and biodiversity","type":"article-journal","volume":"58"},"uris":["http://www.mendeley.com/documents/?uuid=6dda118e-fcf2-4442-b722-01979c2097cf"]},{"id":"ITEM-2","itemData":{"DOI":"10.1007/s10457-017-0181-7","ISBN":"1045701701817","ISSN":"15729680","abstract":"Most farm-based agroforestry projects focus on the integration of trees on arable or livestock enterprises. This paper focuses on the integration of understorey crops and/or livestock within high value tree systems (e.g., apple orchards, olive groves, chestnut woodlands, and walnut plantations), and describes the components, structure, ecosystem services and economic value of ten case studies of this type of agroforestry across Europe. Although their ecological and socio-economic contexts vary, the systems share some common characteristics. The primary objective of the farmer is likely to remain the value of tree products like apples, olives, oranges, or nuts, or particularly high value timber. However there can still be production, environmental or economic benefits of integrating agricultural crops such as chickpeas and barley, or grazing an understorey grass crop with livestock. Three of the systems focused on the grazing of apple orchards with sheep in the UK and France. The introduction of sheep to apple orchards can minimise the need for mowing and provide an additional source of revenue. Throughout the Mediterranean, there is a need to improve the financial viability of olive groves. The case studies illustrate the possibility of intercropping traditional olive stands with chickpea in Greece, or the intercropping of wild asparagus in high density olive groves in Italy. Another system studied in Greece involves orange trees intercropped with chickpeas. Stands of chestnut trees in North-west Spain can provide feed for pigs when the fruit falls in November, and provide an excellent habitat for the commercial production of edible mushrooms. In Spain, in the production of high quality walnut trees using rotations of up to 50–60 years, there are options to establish a legume-based mixed pasture understorey and to introduce sheep to provide financial and environmental benefits.","author":[{"dropping-particle":"","family":"Pantera","given":"A.","non-dropping-particle":"","parse-names":false,"suffix":""},{"dropping-particle":"","family":"Burgess","given":"P. J.","non-dropping-particle":"","parse-names":false,"suffix":""},{"dropping-particle":"","family":"Mosquera Losada","given":"R.","non-dropping-particle":"","parse-names":false,"suffix":""},{"dropping-particle":"","family":"Moreno","given":"G.","non-dropping-particle":"","parse-names":false,"suffix":""},{"dropping-particle":"","family":"López-Díaz","given":"M. L.","non-dropping-particle":"","parse-names":false,"suffix":""},{"dropping-particle":"","family":"Corroyer","given":"N.","non-dropping-particle":"","parse-names":false,"suffix":""},{"dropping-particle":"","family":"McAdam","given":"J.","non-dropping-particle":"","parse-names":false,"suffix":""},{"dropping-particle":"","family":"Rosati","given":"A.","non-dropping-particle":"","parse-names":false,"suffix":""},{"dropping-particle":"","family":"Papadopoulos","given":"A. M.","non-dropping-particle":"","parse-names":false,"suffix":""},{"dropping-particle":"","family":"Graves","given":"A.","non-dropping-particle":"","parse-names":false,"suffix":""},{"dropping-particle":"","family":"Rigueiro Rodríguez","given":"A.","non-dropping-particle":"","parse-names":false,"suffix":""},{"dropping-particle":"","family":"Ferreiro-Domínguez","given":"N.","non-dropping-particle":"","parse-names":false,"suffix":""},{"dropping-particle":"","family":"Fernández Lorenzo","given":"J. L.","non-dropping-particle":"","parse-names":false,"suffix":""},{"dropping-particle":"","family":"González-Hernández","given":"M. P.","non-dropping-particle":"","parse-names":false,"suffix":""},{"dropping-particle":"","family":"Papanastasis","given":"V. P.","non-dropping-particle":"","parse-names":false,"suffix":""},{"dropping-particle":"","family":"Mantzanas","given":"K.","non-dropping-particle":"","parse-names":false,"suffix":""},{"dropping-particle":"","family":"Lerberghe","given":"P.","non-dropping-particle":"Van","parse-names":false,"suffix":""},{"dropping-particle":"","family":"Malignier","given":"N.","non-dropping-particle":"","parse-names":false,"suffix":""}],"container-title":"Agroforestry Systems","id":"ITEM-2","issue":"4","issued":{"date-parts":[["2018"]]},"page":"945-959","title":"Agroforestry for high value tree systems in Europe","type":"article-journal","volume":"92"},"uris":["http://www.mendeley.com/documents/?uuid=b547f5af-dc71-4c96-b68c-e3782ec4f72a"]},{"id":"ITEM-3","itemData":{"abstract":"La notion d'Indication Géographique $\\$(IG$\\$) exposée par l'Organisation mondiale du commerce, identifie les lignes directrices spécifiques de qualité et protège les aliments, boissons et autres produits de la concurrence, en fonction de leur origine géographique ou lieu spécifique. Au Mexique, les IG sont connues comme Dénominations d'Origine $\\$(DO$\\$), et en 1974, la téquila a été reconnue comme le premier produit mexicain de DO. En 1994, le gouvernement mexicain a créé une DO pour la catégorie des boissons d'agave distillé, le mezcal. Dans l'État de Jalisco, au Mexique, il existe plusieurs types de mezcal, mais quelques-uns seulement sont reconnus sous la réglementation DO. Bien que fabriqués artisanalement dans le Jalisco depuis des siècles, de nombreux mezcals, comme la raicilla, ne sont pas protégés par le système DO. Les fabricants traditionnels, qui sont souvent eux-mêmes cultivateurs d'agaves, jouent un rôle important dans le maintien des ressources écologiques de la région. Nous nous sommes intéressées à trois boissons $\\$(téquila, raicilla et mezcal$\\$), chacune produite dans le Jalisco, au Mexique, pour étudier comment les différents acteurs sociaux négocient les questions relatives à la biodiversité. En particulier, nous attirons l'attention sur les fabrications artisanales de ces boissons et les traditions humaines qui soutiennent le développement durable. De plus, nous mettons l'accent sur un ensemble d'espèces d'agaves $\\$(sauvages et cultivés$\\$), utilisés à la fois par des grands producteurs et par d'autres sur de plus petites surfaces, en tenant compte de la diversité des agaves et de leurs efforts pour se maintenir sur le marché des spiritueux. Plus précisément, nous posons les questions suivantes : Quelles sont les espèces d'agaves actuellement utilisées à la fois par les grands et les petits fabricants de téquila et de mezcal dans l'État de Jalisco? Quelles sont les conditions permettant une utilisation plus importante de biodiversité spécifique et variétale indigènes? Comme nous le montrons, les producteurs artisanaux sont plus susceptibles d'utiliser des espèces variées d'agaves dans la fabrication de leurs boissons distillées. Mais les pressions pour moderniser leurs méthodes de production menacent la diversité écologique et culturelle de ces produits du terroir.Outlined by the World Trade Organization, Geographical Indication $\\$(GI$\\$) designations identify specific quality guidelines and protect foods, drinks, and other pro…","author":[{"dropping-particle":"","family":"Zapata","given":"Ana G Valenzuela","non-dropping-particle":"","parse-names":false,"suffix":""},{"dropping-particle":"","family":"Gaytán","given":"Marie Sarita","non-dropping-particle":"","parse-names":false,"suffix":""}],"id":"ITEM-3","issued":{"date-parts":[["2019"]]},"page":"0-19","title":"Sustaining Biological and Cultural Diversity","type":"article-journal"},"uris":["http://www.mendeley.com/documents/?uuid=9d8dc832-3f29-439d-83bc-fbc001fb8f8c"]}],"mendeley":{"formattedCitation":"(BÉRARD; MARCHENAY, 2006; PANTERA &lt;i&gt;et al.&lt;/i&gt;, 2018; ZAPATA; GAYTÁN, 2019)","plainTextFormattedCitation":"(BÉRARD; MARCHENAY, 2006; PANTERA et al., 2018; ZAPATA; GAYTÁN, 2019)","previouslyFormattedCitation":"(BÉRARD; MARCHENAY, 2006; PANTERA &lt;i&gt;et al.&lt;/i&gt;, 2018; ZAPATA; GAYTÁN, 2019)"},"properties":{"noteIndex":0},"schema":"https://github.com/citation-style-language/schema/raw/master/csl-citation.json"}</w:instrText>
            </w:r>
            <w:r w:rsidRPr="001C69EC">
              <w:rPr>
                <w:rFonts w:ascii="Arial" w:eastAsia="Times New Roman" w:hAnsi="Arial" w:cs="Arial"/>
                <w:lang w:eastAsia="pt-BR"/>
              </w:rPr>
              <w:fldChar w:fldCharType="separate"/>
            </w:r>
            <w:r w:rsidRPr="001C69EC">
              <w:rPr>
                <w:rFonts w:ascii="Arial" w:eastAsia="Times New Roman" w:hAnsi="Arial" w:cs="Arial"/>
                <w:noProof/>
                <w:lang w:eastAsia="pt-BR"/>
              </w:rPr>
              <w:t xml:space="preserve">(BÉRARD; MARCHENAY, 2006; PANTERA </w:t>
            </w:r>
            <w:r w:rsidRPr="001C69EC">
              <w:rPr>
                <w:rFonts w:ascii="Arial" w:eastAsia="Times New Roman" w:hAnsi="Arial" w:cs="Arial"/>
                <w:i/>
                <w:noProof/>
                <w:lang w:eastAsia="pt-BR"/>
              </w:rPr>
              <w:t>et al.</w:t>
            </w:r>
            <w:r w:rsidRPr="001C69EC">
              <w:rPr>
                <w:rFonts w:ascii="Arial" w:eastAsia="Times New Roman" w:hAnsi="Arial" w:cs="Arial"/>
                <w:noProof/>
                <w:lang w:eastAsia="pt-BR"/>
              </w:rPr>
              <w:t>, 2018; ZAPATA; GAYTÁN, 2019)</w:t>
            </w:r>
            <w:r w:rsidRPr="001C69EC">
              <w:rPr>
                <w:rFonts w:ascii="Arial" w:eastAsia="Times New Roman" w:hAnsi="Arial" w:cs="Arial"/>
                <w:lang w:eastAsia="pt-BR"/>
              </w:rPr>
              <w:fldChar w:fldCharType="end"/>
            </w:r>
            <w:r w:rsidRPr="001C69EC">
              <w:rPr>
                <w:rFonts w:ascii="Arial" w:hAnsi="Arial" w:cs="Arial"/>
              </w:rPr>
              <w:t xml:space="preserve"> </w:t>
            </w:r>
          </w:p>
        </w:tc>
      </w:tr>
      <w:tr w:rsidR="001C69EC" w:rsidRPr="00C51C28" w14:paraId="23697338" w14:textId="77777777" w:rsidTr="001C69EC">
        <w:trPr>
          <w:trHeight w:val="255"/>
        </w:trPr>
        <w:tc>
          <w:tcPr>
            <w:tcW w:w="6222" w:type="dxa"/>
            <w:noWrap/>
            <w:hideMark/>
          </w:tcPr>
          <w:p w14:paraId="50FC8E3A" w14:textId="77777777" w:rsidR="001C69EC" w:rsidRPr="001C69EC" w:rsidRDefault="001C69EC" w:rsidP="00533B63">
            <w:pPr>
              <w:jc w:val="both"/>
              <w:rPr>
                <w:rFonts w:ascii="Arial" w:hAnsi="Arial" w:cs="Arial"/>
              </w:rPr>
            </w:pPr>
            <w:r w:rsidRPr="001C69EC">
              <w:rPr>
                <w:rFonts w:ascii="Arial" w:hAnsi="Arial" w:cs="Arial"/>
              </w:rPr>
              <w:t>Rentabilidade da atividade; avanço do turismo; elevação do valor das propriedades rurais.</w:t>
            </w:r>
          </w:p>
        </w:tc>
        <w:tc>
          <w:tcPr>
            <w:tcW w:w="2562" w:type="dxa"/>
          </w:tcPr>
          <w:p w14:paraId="03E92CD4" w14:textId="148F43F6" w:rsidR="001C69EC" w:rsidRPr="00C51C28" w:rsidRDefault="001C69EC" w:rsidP="00533B63">
            <w:pPr>
              <w:jc w:val="both"/>
              <w:rPr>
                <w:rFonts w:ascii="Arial" w:hAnsi="Arial" w:cs="Arial"/>
                <w:lang w:val="en-US"/>
              </w:rPr>
            </w:pPr>
            <w:r w:rsidRPr="001C69EC">
              <w:rPr>
                <w:rFonts w:ascii="Arial" w:eastAsia="Times New Roman" w:hAnsi="Arial" w:cs="Arial"/>
                <w:lang w:eastAsia="pt-BR"/>
              </w:rPr>
              <w:fldChar w:fldCharType="begin" w:fldLock="1"/>
            </w:r>
            <w:r w:rsidRPr="001C69EC">
              <w:rPr>
                <w:rFonts w:ascii="Arial" w:eastAsia="Times New Roman" w:hAnsi="Arial" w:cs="Arial"/>
                <w:lang w:eastAsia="pt-BR"/>
              </w:rPr>
              <w:instrText>ADDIN CSL_CITATION {"citationItems":[{"id":"ITEM-1","itemData":{"DOI":"10.1080/13504630.2017.1291090","ISSN":"13630296","abstract":"This article examines social mobilisation against coal seam gas and coal mining in country New South Wales. While environmental concerns are one of the motivations behind recent mobilisations, the alliances that are emerging bring together groups with a diversity of interests and ideological orientation. Disappointment with political elites and concerns with lack of transparency and public accountability, are setting the foundations for new forms of grassroots collaboration. Against the widespread notion of depoliticisation in Western liberal democracies, I argue that the growth in community mobilisation in country Australia reveals a more dynamic relationship with politics, one that requires differentiating the more rigid spaces within political institutions, from the political field more broadly.","author":[{"dropping-particle":"","family":"Arashiro","given":"Zuleika","non-dropping-particle":"","parse-names":false,"suffix":""}],"container-title":"Social Identities","id":"ITEM-1","issue":"6","issued":{"date-parts":[["2017"]]},"page":"661-673","publisher":"Taylor &amp; Francis","title":"Mining, social contestation and the reclaiming of voice in Australia’s democracy","type":"article-journal","volume":"23"},"uris":["http://www.mendeley.com/documents/?uuid=f6e231cc-0e30-4b4f-b788-86fbe77d1f23"]},{"id":"ITEM-2","itemData":{"DOI":"10.1080/09669582.2019.1648482","ISSN":"17477646","abstract":"As an agricultural product with strong social and cultural connotations, the production and consumption of tea have high potential to be integrated with tourism to enhance community livelihood sustainability. A sustainable livelihood approach is used in a tea tourism context in Hetu Town, Anhui Province, China, to examine critically the interactive relationships between tea and tourism. Face-to-face semi-structured interviews were conducted with management officials, community leaders, tea industry representatives and village residents in four field investigations in 2015 and 2016. Improvement in community livelihood sustainability was identified through enhancement of livelihood diversity and choice. However, impacts on household livelihood sustainability varied as tourism participation is restricted by level of livelihood assets. The increase of the within-community income gap may generate social problems in the long run. The current level of tea and tourism integration is limited. The history, cu</w:instrText>
            </w:r>
            <w:r w:rsidRPr="00C51C28">
              <w:rPr>
                <w:rFonts w:ascii="Arial" w:eastAsia="Times New Roman" w:hAnsi="Arial" w:cs="Arial"/>
                <w:lang w:val="en-US" w:eastAsia="pt-BR"/>
              </w:rPr>
              <w:instrText>lture and traditions related with tea are not widely disseminated by local tea producers. Opportunities for in-depth and diversified tea tourism experiences are being recognized, which call for partnership with those involved in tourism. Practical implications are discussed to enhance tea and tourism integration, boost local participation, enhance local benefits, and particularly, to engage those with lower levels of livelihood assets.","author":[{"dropping-particle":"","family":"Su","given":"Ming Ming","non-dropping-particle":"","parse-names":false,"suffix":""},{"dropping-particle":"","family":"Wall","given":"Geoffrey","non-dropping-particle":"","parse-names":false,"suffix":""},{"dropping-particle":"","family":"Wang","given":"Yanan","non-dropping-particle":"","parse-names":false,"suffix":""}],"container-title":"Journal of Sustainable Tourism","id":"ITEM-2","issue":"10","issued":{"date-parts":[["2019"]]},"page":"1591-1608","publisher":"Routledge","title":"Integrating tea and tourism: a sustainable livelihoods approach","type":"article-journal","volume":"27"},"uris":["http://www.mendeley.com/documents/?uuid=260b9343-a3a1-461c-87f7-1ba8812c6fe0"]}],"mendeley":{"formattedCitation":"(ARASHIRO, 2017; SU; WALL; WANG, 2019)","plainTextFormattedCitation":"(ARASHIRO, 2017; SU; WALL; WANG, 2019)","previouslyFormattedCitation":"(ARASHIRO, 2017; SU; WALL; WANG, 2019)"},"properties":{"noteIndex":0},"schema":"https://github.com/citation-style-language/schema/raw/master/csl-citation.json"}</w:instrText>
            </w:r>
            <w:r w:rsidRPr="001C69EC">
              <w:rPr>
                <w:rFonts w:ascii="Arial" w:eastAsia="Times New Roman" w:hAnsi="Arial" w:cs="Arial"/>
                <w:lang w:eastAsia="pt-BR"/>
              </w:rPr>
              <w:fldChar w:fldCharType="separate"/>
            </w:r>
            <w:r w:rsidRPr="00C51C28">
              <w:rPr>
                <w:rFonts w:ascii="Arial" w:eastAsia="Times New Roman" w:hAnsi="Arial" w:cs="Arial"/>
                <w:noProof/>
                <w:lang w:val="en-US" w:eastAsia="pt-BR"/>
              </w:rPr>
              <w:t>(ARASHIRO, 2017; SU; WALL; WANG, 2019)</w:t>
            </w:r>
            <w:r w:rsidRPr="001C69EC">
              <w:rPr>
                <w:rFonts w:ascii="Arial" w:eastAsia="Times New Roman" w:hAnsi="Arial" w:cs="Arial"/>
                <w:lang w:eastAsia="pt-BR"/>
              </w:rPr>
              <w:fldChar w:fldCharType="end"/>
            </w:r>
            <w:r w:rsidRPr="00C51C28">
              <w:rPr>
                <w:rFonts w:ascii="Arial" w:eastAsia="Times New Roman" w:hAnsi="Arial" w:cs="Arial"/>
                <w:lang w:val="en-US" w:eastAsia="pt-BR"/>
              </w:rPr>
              <w:t xml:space="preserve"> </w:t>
            </w:r>
          </w:p>
        </w:tc>
      </w:tr>
    </w:tbl>
    <w:p w14:paraId="0C81A6F1" w14:textId="1E854A0A" w:rsidR="001C69EC" w:rsidRPr="00C51C28" w:rsidRDefault="001C69EC">
      <w:pPr>
        <w:rPr>
          <w:rFonts w:ascii="Arial" w:hAnsi="Arial" w:cs="Arial"/>
          <w:color w:val="000000"/>
          <w:lang w:val="en-US"/>
        </w:rPr>
      </w:pPr>
      <w:r w:rsidRPr="00C51C28">
        <w:rPr>
          <w:rFonts w:ascii="Arial" w:hAnsi="Arial" w:cs="Arial"/>
          <w:color w:val="000000"/>
          <w:lang w:val="en-US"/>
        </w:rPr>
        <w:t xml:space="preserve">Fonte: </w:t>
      </w:r>
      <w:proofErr w:type="spellStart"/>
      <w:r w:rsidRPr="00C51C28">
        <w:rPr>
          <w:rFonts w:ascii="Arial" w:hAnsi="Arial" w:cs="Arial"/>
          <w:color w:val="000000"/>
          <w:lang w:val="en-US"/>
        </w:rPr>
        <w:t>autoria</w:t>
      </w:r>
      <w:proofErr w:type="spellEnd"/>
      <w:r w:rsidRPr="00C51C28">
        <w:rPr>
          <w:rFonts w:ascii="Arial" w:hAnsi="Arial" w:cs="Arial"/>
          <w:color w:val="000000"/>
          <w:lang w:val="en-US"/>
        </w:rPr>
        <w:t xml:space="preserve"> </w:t>
      </w:r>
      <w:proofErr w:type="spellStart"/>
      <w:r w:rsidRPr="00C51C28">
        <w:rPr>
          <w:rFonts w:ascii="Arial" w:hAnsi="Arial" w:cs="Arial"/>
          <w:color w:val="000000"/>
          <w:lang w:val="en-US"/>
        </w:rPr>
        <w:t>própria</w:t>
      </w:r>
      <w:proofErr w:type="spellEnd"/>
      <w:r w:rsidRPr="00C51C28">
        <w:rPr>
          <w:rFonts w:ascii="Arial" w:hAnsi="Arial" w:cs="Arial"/>
          <w:color w:val="000000"/>
          <w:lang w:val="en-US"/>
        </w:rPr>
        <w:t>, 2020</w:t>
      </w:r>
    </w:p>
    <w:p w14:paraId="7A761EEC" w14:textId="77777777" w:rsidR="001C69EC" w:rsidRPr="00C51C28" w:rsidRDefault="001C69EC">
      <w:pPr>
        <w:rPr>
          <w:rFonts w:ascii="Arial" w:hAnsi="Arial" w:cs="Arial"/>
          <w:b/>
          <w:bCs/>
          <w:color w:val="000000"/>
          <w:lang w:val="en-US"/>
        </w:rPr>
      </w:pPr>
    </w:p>
    <w:p w14:paraId="76C17A0B" w14:textId="10B7C300" w:rsidR="001C69EC" w:rsidRPr="00C51C28" w:rsidRDefault="001C69EC">
      <w:pPr>
        <w:rPr>
          <w:rFonts w:ascii="Arial" w:hAnsi="Arial" w:cs="Arial"/>
          <w:b/>
          <w:bCs/>
          <w:color w:val="000000"/>
          <w:lang w:val="en-US"/>
        </w:rPr>
      </w:pPr>
      <w:proofErr w:type="spellStart"/>
      <w:r w:rsidRPr="00C51C28">
        <w:rPr>
          <w:rFonts w:ascii="Arial" w:hAnsi="Arial" w:cs="Arial"/>
          <w:b/>
          <w:bCs/>
          <w:color w:val="000000"/>
          <w:lang w:val="en-US"/>
        </w:rPr>
        <w:t>Referências</w:t>
      </w:r>
      <w:proofErr w:type="spellEnd"/>
    </w:p>
    <w:p w14:paraId="5796BA9E" w14:textId="1DFFC2E0"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1C69EC">
        <w:rPr>
          <w:rFonts w:ascii="Arial" w:hAnsi="Arial" w:cs="Arial"/>
          <w:color w:val="000000"/>
        </w:rPr>
        <w:fldChar w:fldCharType="begin" w:fldLock="1"/>
      </w:r>
      <w:r w:rsidRPr="00C51C28">
        <w:rPr>
          <w:rFonts w:ascii="Arial" w:hAnsi="Arial" w:cs="Arial"/>
          <w:color w:val="000000"/>
          <w:lang w:val="en-US"/>
        </w:rPr>
        <w:instrText xml:space="preserve">ADDIN Mendeley Bibliography CSL_BIBLIOGRAPHY </w:instrText>
      </w:r>
      <w:r w:rsidRPr="001C69EC">
        <w:rPr>
          <w:rFonts w:ascii="Arial" w:hAnsi="Arial" w:cs="Arial"/>
          <w:color w:val="000000"/>
        </w:rPr>
        <w:fldChar w:fldCharType="separate"/>
      </w:r>
      <w:r w:rsidRPr="00C51C28">
        <w:rPr>
          <w:rFonts w:ascii="Arial" w:hAnsi="Arial" w:cs="Arial"/>
          <w:noProof/>
          <w:lang w:val="en-US"/>
        </w:rPr>
        <w:t xml:space="preserve">ARASHIRO, Zuleika. Mining, social contestation and the reclaiming of voice in Australia’s democracy. </w:t>
      </w:r>
      <w:r w:rsidRPr="00C51C28">
        <w:rPr>
          <w:rFonts w:ascii="Arial" w:hAnsi="Arial" w:cs="Arial"/>
          <w:i/>
          <w:iCs/>
          <w:noProof/>
          <w:lang w:val="en-US"/>
        </w:rPr>
        <w:t>Social Identities</w:t>
      </w:r>
      <w:r w:rsidRPr="00C51C28">
        <w:rPr>
          <w:rFonts w:ascii="Arial" w:hAnsi="Arial" w:cs="Arial"/>
          <w:noProof/>
          <w:lang w:val="en-US"/>
        </w:rPr>
        <w:t>, v. 23, n. 6, p. 661–673, 2017.</w:t>
      </w:r>
    </w:p>
    <w:p w14:paraId="4C8220F4"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BELLEGGIA, Luca </w:t>
      </w:r>
      <w:r w:rsidRPr="00C51C28">
        <w:rPr>
          <w:rFonts w:ascii="Arial" w:hAnsi="Arial" w:cs="Arial"/>
          <w:i/>
          <w:iCs/>
          <w:noProof/>
          <w:lang w:val="en-US"/>
        </w:rPr>
        <w:t>et al.</w:t>
      </w:r>
      <w:r w:rsidRPr="00C51C28">
        <w:rPr>
          <w:rFonts w:ascii="Arial" w:hAnsi="Arial" w:cs="Arial"/>
          <w:noProof/>
          <w:lang w:val="en-US"/>
        </w:rPr>
        <w:t xml:space="preserve"> Is there any still undisclosed biodiversity in Ciauscolo salami? A new glance into the microbiota of an artisan production as revealed by high-throughput sequencing. </w:t>
      </w:r>
      <w:r w:rsidRPr="00C51C28">
        <w:rPr>
          <w:rFonts w:ascii="Arial" w:hAnsi="Arial" w:cs="Arial"/>
          <w:i/>
          <w:iCs/>
          <w:noProof/>
          <w:lang w:val="en-US"/>
        </w:rPr>
        <w:t>Meat Science</w:t>
      </w:r>
      <w:r w:rsidRPr="00C51C28">
        <w:rPr>
          <w:rFonts w:ascii="Arial" w:hAnsi="Arial" w:cs="Arial"/>
          <w:noProof/>
          <w:lang w:val="en-US"/>
        </w:rPr>
        <w:t>, v. 165, n. December 2019, p. 108128, 2020. Disponível em: &lt;https://doi.org/10.1016/j.meatsci.2020.108128&gt;.</w:t>
      </w:r>
    </w:p>
    <w:p w14:paraId="37371D83"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BELLETTI, Giovanni </w:t>
      </w:r>
      <w:r w:rsidRPr="00C51C28">
        <w:rPr>
          <w:rFonts w:ascii="Arial" w:hAnsi="Arial" w:cs="Arial"/>
          <w:i/>
          <w:iCs/>
          <w:noProof/>
          <w:lang w:val="en-US"/>
        </w:rPr>
        <w:t>et al.</w:t>
      </w:r>
      <w:r w:rsidRPr="00C51C28">
        <w:rPr>
          <w:rFonts w:ascii="Arial" w:hAnsi="Arial" w:cs="Arial"/>
          <w:noProof/>
          <w:lang w:val="en-US"/>
        </w:rPr>
        <w:t xml:space="preserve"> Linking protection of geographical indications to the environment: Evidence from the European Union olive-oil sector. </w:t>
      </w:r>
      <w:r w:rsidRPr="00C51C28">
        <w:rPr>
          <w:rFonts w:ascii="Arial" w:hAnsi="Arial" w:cs="Arial"/>
          <w:i/>
          <w:iCs/>
          <w:noProof/>
          <w:lang w:val="en-US"/>
        </w:rPr>
        <w:t>Land Use Policy</w:t>
      </w:r>
      <w:r w:rsidRPr="00C51C28">
        <w:rPr>
          <w:rFonts w:ascii="Arial" w:hAnsi="Arial" w:cs="Arial"/>
          <w:noProof/>
          <w:lang w:val="en-US"/>
        </w:rPr>
        <w:t>, v. 48, p. 94–106, 2015.</w:t>
      </w:r>
    </w:p>
    <w:p w14:paraId="58740181"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BÉRARD, Laurence; MARCHENAY, Philippe. Local products and geographical indications: Taking account of local knowledge and biodiversity. </w:t>
      </w:r>
      <w:r w:rsidRPr="00C51C28">
        <w:rPr>
          <w:rFonts w:ascii="Arial" w:hAnsi="Arial" w:cs="Arial"/>
          <w:i/>
          <w:iCs/>
          <w:noProof/>
          <w:lang w:val="en-US"/>
        </w:rPr>
        <w:t>International Social Science Journal</w:t>
      </w:r>
      <w:r w:rsidRPr="00C51C28">
        <w:rPr>
          <w:rFonts w:ascii="Arial" w:hAnsi="Arial" w:cs="Arial"/>
          <w:noProof/>
          <w:lang w:val="en-US"/>
        </w:rPr>
        <w:t>, v. 58, n. 187, p. 109–116, 2006.</w:t>
      </w:r>
    </w:p>
    <w:p w14:paraId="756AA6AC"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BIASI, Rita </w:t>
      </w:r>
      <w:r w:rsidRPr="00C51C28">
        <w:rPr>
          <w:rFonts w:ascii="Arial" w:hAnsi="Arial" w:cs="Arial"/>
          <w:i/>
          <w:iCs/>
          <w:noProof/>
          <w:lang w:val="en-US"/>
        </w:rPr>
        <w:t>et al.</w:t>
      </w:r>
      <w:r w:rsidRPr="00C51C28">
        <w:rPr>
          <w:rFonts w:ascii="Arial" w:hAnsi="Arial" w:cs="Arial"/>
          <w:noProof/>
          <w:lang w:val="en-US"/>
        </w:rPr>
        <w:t xml:space="preserve"> Linking traditional tree-crop landscapes and agro-biodiversity in central Italy using a database of typical and traditional products: a multiple risk assessment through a data mining analysis. </w:t>
      </w:r>
      <w:r w:rsidRPr="00C51C28">
        <w:rPr>
          <w:rFonts w:ascii="Arial" w:hAnsi="Arial" w:cs="Arial"/>
          <w:i/>
          <w:iCs/>
          <w:noProof/>
          <w:lang w:val="en-US"/>
        </w:rPr>
        <w:t>Biodiversity and Conservation</w:t>
      </w:r>
      <w:r w:rsidRPr="00C51C28">
        <w:rPr>
          <w:rFonts w:ascii="Arial" w:hAnsi="Arial" w:cs="Arial"/>
          <w:noProof/>
          <w:lang w:val="en-US"/>
        </w:rPr>
        <w:t>, v. 24, n. 12, p. 3009–3031, 2015.</w:t>
      </w:r>
    </w:p>
    <w:p w14:paraId="17891B82"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BOWEN, Sarah. Embedding local places in global spaces: Geographical indications as a territorial development strategy. </w:t>
      </w:r>
      <w:r w:rsidRPr="00C51C28">
        <w:rPr>
          <w:rFonts w:ascii="Arial" w:hAnsi="Arial" w:cs="Arial"/>
          <w:i/>
          <w:iCs/>
          <w:noProof/>
          <w:lang w:val="en-US"/>
        </w:rPr>
        <w:t>Rural Sociology</w:t>
      </w:r>
      <w:r w:rsidRPr="00C51C28">
        <w:rPr>
          <w:rFonts w:ascii="Arial" w:hAnsi="Arial" w:cs="Arial"/>
          <w:noProof/>
          <w:lang w:val="en-US"/>
        </w:rPr>
        <w:t>, v. 75, n. 2, p. 209–243, 2010.</w:t>
      </w:r>
    </w:p>
    <w:p w14:paraId="01F109FF"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BOWEN, Sarah; ZAPATA, Ana Valenzuela. Geographical indications, terroir, and socioeconomic and ecological sustainability: The case of tequila. </w:t>
      </w:r>
      <w:r w:rsidRPr="00C51C28">
        <w:rPr>
          <w:rFonts w:ascii="Arial" w:hAnsi="Arial" w:cs="Arial"/>
          <w:i/>
          <w:iCs/>
          <w:noProof/>
          <w:lang w:val="en-US"/>
        </w:rPr>
        <w:t>Journal of Rural Studies</w:t>
      </w:r>
      <w:r w:rsidRPr="00C51C28">
        <w:rPr>
          <w:rFonts w:ascii="Arial" w:hAnsi="Arial" w:cs="Arial"/>
          <w:noProof/>
          <w:lang w:val="en-US"/>
        </w:rPr>
        <w:t>, v. 25, n. 1, p. 108–119, 2009.</w:t>
      </w:r>
    </w:p>
    <w:p w14:paraId="17191EDB"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CONVERSA, Giulia </w:t>
      </w:r>
      <w:r w:rsidRPr="00C51C28">
        <w:rPr>
          <w:rFonts w:ascii="Arial" w:hAnsi="Arial" w:cs="Arial"/>
          <w:i/>
          <w:iCs/>
          <w:noProof/>
          <w:lang w:val="en-US"/>
        </w:rPr>
        <w:t>et al.</w:t>
      </w:r>
      <w:r w:rsidRPr="00C51C28">
        <w:rPr>
          <w:rFonts w:ascii="Arial" w:hAnsi="Arial" w:cs="Arial"/>
          <w:noProof/>
          <w:lang w:val="en-US"/>
        </w:rPr>
        <w:t xml:space="preserve"> Exploring on-farm agro-biodiversity: a study case of vegetable landraces from Puglia region (Italy). </w:t>
      </w:r>
      <w:r w:rsidRPr="00C51C28">
        <w:rPr>
          <w:rFonts w:ascii="Arial" w:hAnsi="Arial" w:cs="Arial"/>
          <w:i/>
          <w:iCs/>
          <w:noProof/>
          <w:lang w:val="en-US"/>
        </w:rPr>
        <w:t>Biodiversity and Conservation</w:t>
      </w:r>
      <w:r w:rsidRPr="00C51C28">
        <w:rPr>
          <w:rFonts w:ascii="Arial" w:hAnsi="Arial" w:cs="Arial"/>
          <w:noProof/>
          <w:lang w:val="en-US"/>
        </w:rPr>
        <w:t>, v. 29, n. 3, p. 747–770, 2020. Disponível em: &lt;https://doi.org/10.1007/s10531-019-01908-3&gt;.</w:t>
      </w:r>
    </w:p>
    <w:p w14:paraId="39C17946"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DAL FERRO, Nicola; BORIN, Maurizio. Environment, agro-system and quality of food production in Italy. </w:t>
      </w:r>
      <w:r w:rsidRPr="00C51C28">
        <w:rPr>
          <w:rFonts w:ascii="Arial" w:hAnsi="Arial" w:cs="Arial"/>
          <w:i/>
          <w:iCs/>
          <w:noProof/>
          <w:lang w:val="en-US"/>
        </w:rPr>
        <w:t>Italian Journal of Agronomy</w:t>
      </w:r>
      <w:r w:rsidRPr="00C51C28">
        <w:rPr>
          <w:rFonts w:ascii="Arial" w:hAnsi="Arial" w:cs="Arial"/>
          <w:noProof/>
          <w:lang w:val="en-US"/>
        </w:rPr>
        <w:t>, v. 12, n. 2, p. 133–143, 2017.</w:t>
      </w:r>
    </w:p>
    <w:p w14:paraId="4E56485F"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DE ROEST, Kees; MENGHI, Alberto. Reconsidering “traditional” food: The case of Parmigiano Reggiano cheese. </w:t>
      </w:r>
      <w:r w:rsidRPr="00C51C28">
        <w:rPr>
          <w:rFonts w:ascii="Arial" w:hAnsi="Arial" w:cs="Arial"/>
          <w:i/>
          <w:iCs/>
          <w:noProof/>
          <w:lang w:val="en-US"/>
        </w:rPr>
        <w:t>Sociologia Ruralis</w:t>
      </w:r>
      <w:r w:rsidRPr="00C51C28">
        <w:rPr>
          <w:rFonts w:ascii="Arial" w:hAnsi="Arial" w:cs="Arial"/>
          <w:noProof/>
          <w:lang w:val="en-US"/>
        </w:rPr>
        <w:t>, v. 40, n. 4, p. 439–451, 2000.</w:t>
      </w:r>
    </w:p>
    <w:p w14:paraId="5F234B76"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GARCIA, Claude </w:t>
      </w:r>
      <w:r w:rsidRPr="00C51C28">
        <w:rPr>
          <w:rFonts w:ascii="Arial" w:hAnsi="Arial" w:cs="Arial"/>
          <w:i/>
          <w:iCs/>
          <w:noProof/>
          <w:lang w:val="en-US"/>
        </w:rPr>
        <w:t>et al.</w:t>
      </w:r>
      <w:r w:rsidRPr="00C51C28">
        <w:rPr>
          <w:rFonts w:ascii="Arial" w:hAnsi="Arial" w:cs="Arial"/>
          <w:noProof/>
          <w:lang w:val="en-US"/>
        </w:rPr>
        <w:t xml:space="preserve"> Geographical indications and biodiversity in the Western Ghats, India: Can labelling benefit producers and the environment in a mountain agroforestry landscape? </w:t>
      </w:r>
      <w:r w:rsidRPr="00C51C28">
        <w:rPr>
          <w:rFonts w:ascii="Arial" w:hAnsi="Arial" w:cs="Arial"/>
          <w:i/>
          <w:iCs/>
          <w:noProof/>
          <w:lang w:val="en-US"/>
        </w:rPr>
        <w:t>Mountain Research and Development</w:t>
      </w:r>
      <w:r w:rsidRPr="00C51C28">
        <w:rPr>
          <w:rFonts w:ascii="Arial" w:hAnsi="Arial" w:cs="Arial"/>
          <w:noProof/>
          <w:lang w:val="en-US"/>
        </w:rPr>
        <w:t>, v. 27, n. 3, p. 206–210, 2007.</w:t>
      </w:r>
    </w:p>
    <w:p w14:paraId="6812DDBC"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GAROFALO, Carmela </w:t>
      </w:r>
      <w:r w:rsidRPr="00C51C28">
        <w:rPr>
          <w:rFonts w:ascii="Arial" w:hAnsi="Arial" w:cs="Arial"/>
          <w:i/>
          <w:iCs/>
          <w:noProof/>
          <w:lang w:val="en-US"/>
        </w:rPr>
        <w:t>et al.</w:t>
      </w:r>
      <w:r w:rsidRPr="00C51C28">
        <w:rPr>
          <w:rFonts w:ascii="Arial" w:hAnsi="Arial" w:cs="Arial"/>
          <w:noProof/>
          <w:lang w:val="en-US"/>
        </w:rPr>
        <w:t xml:space="preserve"> Non-Saccharomyces biodiversity in wine and the ‘microbial terroir’: a survey on Nero di Troia wine from the Apulian region, Italy. </w:t>
      </w:r>
      <w:r w:rsidRPr="00C51C28">
        <w:rPr>
          <w:rFonts w:ascii="Arial" w:hAnsi="Arial" w:cs="Arial"/>
          <w:i/>
          <w:iCs/>
          <w:noProof/>
          <w:lang w:val="en-US"/>
        </w:rPr>
        <w:t>Annals of Microbiology</w:t>
      </w:r>
      <w:r w:rsidRPr="00C51C28">
        <w:rPr>
          <w:rFonts w:ascii="Arial" w:hAnsi="Arial" w:cs="Arial"/>
          <w:noProof/>
          <w:lang w:val="en-US"/>
        </w:rPr>
        <w:t>, v. 66, n. 1, p. 143–150, 2016.</w:t>
      </w:r>
    </w:p>
    <w:p w14:paraId="36D15668"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GERRITSEN, Peter R.W. </w:t>
      </w:r>
      <w:r w:rsidRPr="00C51C28">
        <w:rPr>
          <w:rFonts w:ascii="Arial" w:hAnsi="Arial" w:cs="Arial"/>
          <w:i/>
          <w:iCs/>
          <w:noProof/>
          <w:lang w:val="en-US"/>
        </w:rPr>
        <w:t>et al.</w:t>
      </w:r>
      <w:r w:rsidRPr="00C51C28">
        <w:rPr>
          <w:rFonts w:ascii="Arial" w:hAnsi="Arial" w:cs="Arial"/>
          <w:noProof/>
          <w:lang w:val="en-US"/>
        </w:rPr>
        <w:t xml:space="preserve"> </w:t>
      </w:r>
      <w:r w:rsidRPr="00C51C28">
        <w:rPr>
          <w:rFonts w:ascii="Arial" w:hAnsi="Arial" w:cs="Arial"/>
          <w:noProof/>
          <w:lang w:val="es-419"/>
        </w:rPr>
        <w:t xml:space="preserve">Agave azul y el desarrollo sustentable en la cuenca baja del río Ayuquila, Costa Sur de Jalisco (1994-2004). </w:t>
      </w:r>
      <w:r w:rsidRPr="00C51C28">
        <w:rPr>
          <w:rFonts w:ascii="Arial" w:hAnsi="Arial" w:cs="Arial"/>
          <w:i/>
          <w:iCs/>
          <w:noProof/>
          <w:lang w:val="en-US"/>
        </w:rPr>
        <w:t>Región Y Sociedad</w:t>
      </w:r>
      <w:r w:rsidRPr="00C51C28">
        <w:rPr>
          <w:rFonts w:ascii="Arial" w:hAnsi="Arial" w:cs="Arial"/>
          <w:noProof/>
          <w:lang w:val="en-US"/>
        </w:rPr>
        <w:t>, v. 23, n. 51, 2015.</w:t>
      </w:r>
    </w:p>
    <w:p w14:paraId="17EC96D8"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lastRenderedPageBreak/>
        <w:t xml:space="preserve">HAMMER, Karl </w:t>
      </w:r>
      <w:r w:rsidRPr="00C51C28">
        <w:rPr>
          <w:rFonts w:ascii="Arial" w:hAnsi="Arial" w:cs="Arial"/>
          <w:i/>
          <w:iCs/>
          <w:noProof/>
          <w:lang w:val="en-US"/>
        </w:rPr>
        <w:t>et al.</w:t>
      </w:r>
      <w:r w:rsidRPr="00C51C28">
        <w:rPr>
          <w:rFonts w:ascii="Arial" w:hAnsi="Arial" w:cs="Arial"/>
          <w:noProof/>
          <w:lang w:val="en-US"/>
        </w:rPr>
        <w:t xml:space="preserve"> Conservation of crop genetic resources in Italy with a focus on vegetables and a case study of a neglected race of brassica oleracea. </w:t>
      </w:r>
      <w:r w:rsidRPr="00C51C28">
        <w:rPr>
          <w:rFonts w:ascii="Arial" w:hAnsi="Arial" w:cs="Arial"/>
          <w:i/>
          <w:iCs/>
          <w:noProof/>
          <w:lang w:val="en-US"/>
        </w:rPr>
        <w:t>Agriculture (Switzerland)</w:t>
      </w:r>
      <w:r w:rsidRPr="00C51C28">
        <w:rPr>
          <w:rFonts w:ascii="Arial" w:hAnsi="Arial" w:cs="Arial"/>
          <w:noProof/>
          <w:lang w:val="en-US"/>
        </w:rPr>
        <w:t>, v. 8, n. 7, 2018.</w:t>
      </w:r>
    </w:p>
    <w:p w14:paraId="6A63A5BF"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LAMARQUE, Pénélope; LAMBIN, Eric F. The effectiveness of marked-based instruments to foster the conservation of extensive land use: The case of Geographical Indications in the French Alps. </w:t>
      </w:r>
      <w:r w:rsidRPr="00C51C28">
        <w:rPr>
          <w:rFonts w:ascii="Arial" w:hAnsi="Arial" w:cs="Arial"/>
          <w:i/>
          <w:iCs/>
          <w:noProof/>
          <w:lang w:val="en-US"/>
        </w:rPr>
        <w:t>Land Use Policy</w:t>
      </w:r>
      <w:r w:rsidRPr="00C51C28">
        <w:rPr>
          <w:rFonts w:ascii="Arial" w:hAnsi="Arial" w:cs="Arial"/>
          <w:noProof/>
          <w:lang w:val="en-US"/>
        </w:rPr>
        <w:t>, v. 42, p. 706–717, 2015. Disponível em: &lt;http://dx.doi.org/10.1016/j.landusepol.2014.10.009&gt;.</w:t>
      </w:r>
    </w:p>
    <w:p w14:paraId="0BDA82F5"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PANTERA, A. </w:t>
      </w:r>
      <w:r w:rsidRPr="00C51C28">
        <w:rPr>
          <w:rFonts w:ascii="Arial" w:hAnsi="Arial" w:cs="Arial"/>
          <w:i/>
          <w:iCs/>
          <w:noProof/>
          <w:lang w:val="en-US"/>
        </w:rPr>
        <w:t>et al.</w:t>
      </w:r>
      <w:r w:rsidRPr="00C51C28">
        <w:rPr>
          <w:rFonts w:ascii="Arial" w:hAnsi="Arial" w:cs="Arial"/>
          <w:noProof/>
          <w:lang w:val="en-US"/>
        </w:rPr>
        <w:t xml:space="preserve"> Agroforestry for high value tree systems in Europe. </w:t>
      </w:r>
      <w:r w:rsidRPr="00C51C28">
        <w:rPr>
          <w:rFonts w:ascii="Arial" w:hAnsi="Arial" w:cs="Arial"/>
          <w:i/>
          <w:iCs/>
          <w:noProof/>
          <w:lang w:val="en-US"/>
        </w:rPr>
        <w:t>Agroforestry Systems</w:t>
      </w:r>
      <w:r w:rsidRPr="00C51C28">
        <w:rPr>
          <w:rFonts w:ascii="Arial" w:hAnsi="Arial" w:cs="Arial"/>
          <w:noProof/>
          <w:lang w:val="en-US"/>
        </w:rPr>
        <w:t>, v. 92, n. 4, p. 945–959, 2018.</w:t>
      </w:r>
    </w:p>
    <w:p w14:paraId="58DE9A10"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PERRIN, Coline. Regulation of Farmland Conversion on the Urban Fringe: From Land-Use Planning to Food Strategies. Insight into Two Case Studies in Provence and Tuscany. </w:t>
      </w:r>
      <w:r w:rsidRPr="00C51C28">
        <w:rPr>
          <w:rFonts w:ascii="Arial" w:hAnsi="Arial" w:cs="Arial"/>
          <w:i/>
          <w:iCs/>
          <w:noProof/>
          <w:lang w:val="en-US"/>
        </w:rPr>
        <w:t>International Planning Studies</w:t>
      </w:r>
      <w:r w:rsidRPr="00C51C28">
        <w:rPr>
          <w:rFonts w:ascii="Arial" w:hAnsi="Arial" w:cs="Arial"/>
          <w:noProof/>
          <w:lang w:val="en-US"/>
        </w:rPr>
        <w:t>, v. 18, n. 1, p. 21–36, 2013.</w:t>
      </w:r>
    </w:p>
    <w:p w14:paraId="6EC94654"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PLIENINGER, Tobias </w:t>
      </w:r>
      <w:r w:rsidRPr="00C51C28">
        <w:rPr>
          <w:rFonts w:ascii="Arial" w:hAnsi="Arial" w:cs="Arial"/>
          <w:i/>
          <w:iCs/>
          <w:noProof/>
          <w:lang w:val="en-US"/>
        </w:rPr>
        <w:t>et al.</w:t>
      </w:r>
      <w:r w:rsidRPr="00C51C28">
        <w:rPr>
          <w:rFonts w:ascii="Arial" w:hAnsi="Arial" w:cs="Arial"/>
          <w:noProof/>
          <w:lang w:val="en-US"/>
        </w:rPr>
        <w:t xml:space="preserve"> Fostering biocultural diversity in landscapes through place-based food networks: a “solution scan” of European and Japanese models. </w:t>
      </w:r>
      <w:r w:rsidRPr="00C51C28">
        <w:rPr>
          <w:rFonts w:ascii="Arial" w:hAnsi="Arial" w:cs="Arial"/>
          <w:i/>
          <w:iCs/>
          <w:noProof/>
          <w:lang w:val="en-US"/>
        </w:rPr>
        <w:t>Sustainability Science</w:t>
      </w:r>
      <w:r w:rsidRPr="00C51C28">
        <w:rPr>
          <w:rFonts w:ascii="Arial" w:hAnsi="Arial" w:cs="Arial"/>
          <w:noProof/>
          <w:lang w:val="en-US"/>
        </w:rPr>
        <w:t>, v. 13, n. 1, p. 219–233, 2018.</w:t>
      </w:r>
    </w:p>
    <w:p w14:paraId="3A9C01A6"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QUETIER, Fabien; MARTY, Pascal; LEPART, Jacques. Farmers’ management strategies and land use in an agropastoral landscape: Roquefort cheese production rules as a driver of change. </w:t>
      </w:r>
      <w:r w:rsidRPr="00C51C28">
        <w:rPr>
          <w:rFonts w:ascii="Arial" w:hAnsi="Arial" w:cs="Arial"/>
          <w:i/>
          <w:iCs/>
          <w:noProof/>
          <w:lang w:val="en-US"/>
        </w:rPr>
        <w:t>Agricultural Systems</w:t>
      </w:r>
      <w:r w:rsidRPr="00C51C28">
        <w:rPr>
          <w:rFonts w:ascii="Arial" w:hAnsi="Arial" w:cs="Arial"/>
          <w:noProof/>
          <w:lang w:val="en-US"/>
        </w:rPr>
        <w:t>, v. 84, n. 2, p. 171–193, 2005.</w:t>
      </w:r>
    </w:p>
    <w:p w14:paraId="0DF7FDF9"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SARDARO, Ruggiero; BOZZO, Francesco; FUCILLI, Vincenzo. The choice experiment and the stochastic profit frontier: A methodological approach for groundwater preservation policies. </w:t>
      </w:r>
      <w:r w:rsidRPr="00C51C28">
        <w:rPr>
          <w:rFonts w:ascii="Arial" w:hAnsi="Arial" w:cs="Arial"/>
          <w:i/>
          <w:iCs/>
          <w:noProof/>
          <w:lang w:val="en-US"/>
        </w:rPr>
        <w:t>Aestimum</w:t>
      </w:r>
      <w:r w:rsidRPr="00C51C28">
        <w:rPr>
          <w:rFonts w:ascii="Arial" w:hAnsi="Arial" w:cs="Arial"/>
          <w:noProof/>
          <w:lang w:val="en-US"/>
        </w:rPr>
        <w:t>, v. 72, p. 81–107, 2018.</w:t>
      </w:r>
    </w:p>
    <w:p w14:paraId="7DD6E390"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SU, Ming Ming; WALL, Geoffrey; WANG, Yanan. Integrating tea and tourism: a sustainable livelihoods approach. </w:t>
      </w:r>
      <w:r w:rsidRPr="00C51C28">
        <w:rPr>
          <w:rFonts w:ascii="Arial" w:hAnsi="Arial" w:cs="Arial"/>
          <w:i/>
          <w:iCs/>
          <w:noProof/>
          <w:lang w:val="en-US"/>
        </w:rPr>
        <w:t>Journal of Sustainable Tourism</w:t>
      </w:r>
      <w:r w:rsidRPr="00C51C28">
        <w:rPr>
          <w:rFonts w:ascii="Arial" w:hAnsi="Arial" w:cs="Arial"/>
          <w:noProof/>
          <w:lang w:val="en-US"/>
        </w:rPr>
        <w:t>, v. 27, n. 10, p. 1591–1608, 2019. Disponível em: &lt;https://doi.org/10.1080/09669582.2019.1648482&gt;.</w:t>
      </w:r>
    </w:p>
    <w:p w14:paraId="37E50EAA" w14:textId="77777777" w:rsidR="001C69EC" w:rsidRPr="001C69EC" w:rsidRDefault="001C69EC" w:rsidP="001C69EC">
      <w:pPr>
        <w:widowControl w:val="0"/>
        <w:autoSpaceDE w:val="0"/>
        <w:autoSpaceDN w:val="0"/>
        <w:adjustRightInd w:val="0"/>
        <w:spacing w:line="240" w:lineRule="auto"/>
        <w:rPr>
          <w:rFonts w:ascii="Arial" w:hAnsi="Arial" w:cs="Arial"/>
          <w:noProof/>
        </w:rPr>
      </w:pPr>
      <w:r w:rsidRPr="00C51C28">
        <w:rPr>
          <w:rFonts w:ascii="Arial" w:hAnsi="Arial" w:cs="Arial"/>
          <w:noProof/>
          <w:lang w:val="en-US"/>
        </w:rPr>
        <w:t xml:space="preserve">SWAGEMAKERS, Paul </w:t>
      </w:r>
      <w:r w:rsidRPr="00C51C28">
        <w:rPr>
          <w:rFonts w:ascii="Arial" w:hAnsi="Arial" w:cs="Arial"/>
          <w:i/>
          <w:iCs/>
          <w:noProof/>
          <w:lang w:val="en-US"/>
        </w:rPr>
        <w:t>et al.</w:t>
      </w:r>
      <w:r w:rsidRPr="00C51C28">
        <w:rPr>
          <w:rFonts w:ascii="Arial" w:hAnsi="Arial" w:cs="Arial"/>
          <w:noProof/>
          <w:lang w:val="en-US"/>
        </w:rPr>
        <w:t xml:space="preserve"> Fighting for a future: an actor-oriented planning approach to landscape preservation in Galicia. </w:t>
      </w:r>
      <w:r w:rsidRPr="001C69EC">
        <w:rPr>
          <w:rFonts w:ascii="Arial" w:hAnsi="Arial" w:cs="Arial"/>
          <w:i/>
          <w:iCs/>
          <w:noProof/>
        </w:rPr>
        <w:t>Geografisk Tidsskrift</w:t>
      </w:r>
      <w:r w:rsidRPr="001C69EC">
        <w:rPr>
          <w:rFonts w:ascii="Arial" w:hAnsi="Arial" w:cs="Arial"/>
          <w:noProof/>
        </w:rPr>
        <w:t>, v. 114, n. 2, p. 109–118, 2014. Disponível em: &lt;http://dx.doi.org/10.1080/00167223.2014.876206&gt;.</w:t>
      </w:r>
    </w:p>
    <w:p w14:paraId="69705344"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1C69EC">
        <w:rPr>
          <w:rFonts w:ascii="Arial" w:hAnsi="Arial" w:cs="Arial"/>
          <w:noProof/>
        </w:rPr>
        <w:t xml:space="preserve">TASHIRO, Ai; UCHIYAMA, Yuta; KOHSAKA, Ryo. </w:t>
      </w:r>
      <w:r w:rsidRPr="00C51C28">
        <w:rPr>
          <w:rFonts w:ascii="Arial" w:hAnsi="Arial" w:cs="Arial"/>
          <w:noProof/>
          <w:lang w:val="en-US"/>
        </w:rPr>
        <w:t xml:space="preserve">Impact of Geographical Indication schemes on traditional knowledge in changing agricultural landscapes: An empirical analysis from Japan. </w:t>
      </w:r>
      <w:r w:rsidRPr="00C51C28">
        <w:rPr>
          <w:rFonts w:ascii="Arial" w:hAnsi="Arial" w:cs="Arial"/>
          <w:i/>
          <w:iCs/>
          <w:noProof/>
          <w:lang w:val="en-US"/>
        </w:rPr>
        <w:t>Journal of Rural Studies</w:t>
      </w:r>
      <w:r w:rsidRPr="00C51C28">
        <w:rPr>
          <w:rFonts w:ascii="Arial" w:hAnsi="Arial" w:cs="Arial"/>
          <w:noProof/>
          <w:lang w:val="en-US"/>
        </w:rPr>
        <w:t>, v. 68, n. June 2018, p. 46–53, 2019. Disponível em: &lt;https://doi.org/10.1016/j.jrurstud.2019.03.014&gt;.</w:t>
      </w:r>
    </w:p>
    <w:p w14:paraId="15374ACC" w14:textId="77777777" w:rsidR="001C69EC" w:rsidRPr="00C51C28" w:rsidRDefault="001C69EC" w:rsidP="001C69EC">
      <w:pPr>
        <w:widowControl w:val="0"/>
        <w:autoSpaceDE w:val="0"/>
        <w:autoSpaceDN w:val="0"/>
        <w:adjustRightInd w:val="0"/>
        <w:spacing w:line="240" w:lineRule="auto"/>
        <w:rPr>
          <w:rFonts w:ascii="Arial" w:hAnsi="Arial" w:cs="Arial"/>
          <w:noProof/>
          <w:lang w:val="en-US"/>
        </w:rPr>
      </w:pPr>
      <w:r w:rsidRPr="00C51C28">
        <w:rPr>
          <w:rFonts w:ascii="Arial" w:hAnsi="Arial" w:cs="Arial"/>
          <w:noProof/>
          <w:lang w:val="en-US"/>
        </w:rPr>
        <w:t xml:space="preserve">TURNER, Bertram. Neoliberal politics of resource extraction: Moroccan argan oil. </w:t>
      </w:r>
      <w:r w:rsidRPr="00C51C28">
        <w:rPr>
          <w:rFonts w:ascii="Arial" w:hAnsi="Arial" w:cs="Arial"/>
          <w:i/>
          <w:iCs/>
          <w:noProof/>
          <w:lang w:val="en-US"/>
        </w:rPr>
        <w:t>Forum for Development Studies</w:t>
      </w:r>
      <w:r w:rsidRPr="00C51C28">
        <w:rPr>
          <w:rFonts w:ascii="Arial" w:hAnsi="Arial" w:cs="Arial"/>
          <w:noProof/>
          <w:lang w:val="en-US"/>
        </w:rPr>
        <w:t>, v. 41, n. 2, p. 207–232, 2014.</w:t>
      </w:r>
    </w:p>
    <w:p w14:paraId="053D2797" w14:textId="77777777" w:rsidR="001C69EC" w:rsidRPr="001C69EC" w:rsidRDefault="001C69EC" w:rsidP="001C69EC">
      <w:pPr>
        <w:widowControl w:val="0"/>
        <w:autoSpaceDE w:val="0"/>
        <w:autoSpaceDN w:val="0"/>
        <w:adjustRightInd w:val="0"/>
        <w:spacing w:line="240" w:lineRule="auto"/>
        <w:rPr>
          <w:rFonts w:ascii="Arial" w:hAnsi="Arial" w:cs="Arial"/>
          <w:noProof/>
        </w:rPr>
      </w:pPr>
      <w:r w:rsidRPr="00C51C28">
        <w:rPr>
          <w:rFonts w:ascii="Arial" w:hAnsi="Arial" w:cs="Arial"/>
          <w:noProof/>
          <w:lang w:val="en-US"/>
        </w:rPr>
        <w:t xml:space="preserve">VAKOUFARIS, Hristos. The impact of ladotyri mytilinis PDO cheese on the rural development of Lesvos Island, Greece. </w:t>
      </w:r>
      <w:r w:rsidRPr="001C69EC">
        <w:rPr>
          <w:rFonts w:ascii="Arial" w:hAnsi="Arial" w:cs="Arial"/>
          <w:i/>
          <w:iCs/>
          <w:noProof/>
        </w:rPr>
        <w:t>Local Environment</w:t>
      </w:r>
      <w:r w:rsidRPr="001C69EC">
        <w:rPr>
          <w:rFonts w:ascii="Arial" w:hAnsi="Arial" w:cs="Arial"/>
          <w:noProof/>
        </w:rPr>
        <w:t>, v. 15, n. 1, p. 27–41, 2010.</w:t>
      </w:r>
    </w:p>
    <w:p w14:paraId="1624772B" w14:textId="77777777" w:rsidR="001C69EC" w:rsidRPr="001C69EC" w:rsidRDefault="001C69EC" w:rsidP="001C69EC">
      <w:pPr>
        <w:widowControl w:val="0"/>
        <w:autoSpaceDE w:val="0"/>
        <w:autoSpaceDN w:val="0"/>
        <w:adjustRightInd w:val="0"/>
        <w:spacing w:line="240" w:lineRule="auto"/>
        <w:rPr>
          <w:rFonts w:ascii="Arial" w:hAnsi="Arial" w:cs="Arial"/>
          <w:noProof/>
        </w:rPr>
      </w:pPr>
      <w:r w:rsidRPr="001C69EC">
        <w:rPr>
          <w:rFonts w:ascii="Arial" w:hAnsi="Arial" w:cs="Arial"/>
          <w:noProof/>
        </w:rPr>
        <w:t>ZAPATA, Ana G Valenzuela; GAYTÁN, Marie Sarita. Sustaining Biological and Cultural Diversity. p. 0–19, 2019.</w:t>
      </w:r>
    </w:p>
    <w:p w14:paraId="3747AB60" w14:textId="4FEEFA28" w:rsidR="001C69EC" w:rsidRPr="001C69EC" w:rsidRDefault="001C69EC">
      <w:pPr>
        <w:rPr>
          <w:rFonts w:ascii="Arial" w:hAnsi="Arial" w:cs="Arial"/>
          <w:color w:val="000000"/>
        </w:rPr>
      </w:pPr>
      <w:r w:rsidRPr="001C69EC">
        <w:rPr>
          <w:rFonts w:ascii="Arial" w:hAnsi="Arial" w:cs="Arial"/>
          <w:color w:val="000000"/>
        </w:rPr>
        <w:fldChar w:fldCharType="end"/>
      </w:r>
    </w:p>
    <w:sectPr w:rsidR="001C69EC" w:rsidRPr="001C69EC" w:rsidSect="001C69EC">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0sjQ3MbY0MrcwNzRT0lEKTi0uzszPAykwqgUAYVhBwywAAAA="/>
  </w:docVars>
  <w:rsids>
    <w:rsidRoot w:val="001C69EC"/>
    <w:rsid w:val="001C69EC"/>
    <w:rsid w:val="003D1B60"/>
    <w:rsid w:val="00A21FD5"/>
    <w:rsid w:val="00C51C28"/>
    <w:rsid w:val="00CE658E"/>
    <w:rsid w:val="00CF71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9096"/>
  <w15:chartTrackingRefBased/>
  <w15:docId w15:val="{A302E3E4-03A3-4B75-946A-F437D860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9E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1C6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0ACA1-C4D5-47BD-8860-AFD528D51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49704</Words>
  <Characters>268407</Characters>
  <Application>Microsoft Office Word</Application>
  <DocSecurity>0</DocSecurity>
  <Lines>2236</Lines>
  <Paragraphs>634</Paragraphs>
  <ScaleCrop>false</ScaleCrop>
  <Company/>
  <LinksUpToDate>false</LinksUpToDate>
  <CharactersWithSpaces>317477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2021-04-29T00:29:00Z</dcterms:created>
  <dcterms:modified xsi:type="dcterms:W3CDTF">2021-04-29T00:44:00Z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http://www.zotero.org/styles/elsevier-without-titles</vt:lpwstr>
  </property>
  <property fmtid="{D5CDD505-2E9C-101B-9397-08002B2CF9AE}" pid="13" name="Mendeley Recent Style Name 5_1">
    <vt:lpwstr>Elsevier (numeric, without titles)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http://www.zotero.org/styles/associacao-brasileira-de-normas-tecnicas-ufmg-face-initials</vt:lpwstr>
  </property>
  <property fmtid="{D5CDD505-2E9C-101B-9397-08002B2CF9AE}" pid="17" name="Mendeley Recent Style Name 7_1">
    <vt:lpwstr>Universidade Federal de Minas Gerais - Faculdade de Ciências Econômicas - ABNT (autoria abreviada) (Portuguese - Brazil)</vt:lpwstr>
  </property>
  <property fmtid="{D5CDD505-2E9C-101B-9397-08002B2CF9AE}" pid="18" name="Mendeley Recent Style Id 8_1">
    <vt:lpwstr>http://www.zotero.org/styles/associacao-brasileira-de-normas-tecnicas-ufmg-face-full</vt:lpwstr>
  </property>
  <property fmtid="{D5CDD505-2E9C-101B-9397-08002B2CF9AE}" pid="19" name="Mendeley Recent Style Name 8_1">
    <vt:lpwstr>Universidade Federal de Minas Gerais - Faculdade de Ciências Econômicas - ABNT (autoria completa) (Portuguese - Brazil)</vt:lpwstr>
  </property>
  <property fmtid="{D5CDD505-2E9C-101B-9397-08002B2CF9AE}" pid="20" name="Mendeley Recent Style Id 9_1">
    <vt:lpwstr>http://www.zotero.org/styles/universidade-de-sao-paulo-escola-de-comunicacoes-e-artes-abnt</vt:lpwstr>
  </property>
  <property fmtid="{D5CDD505-2E9C-101B-9397-08002B2CF9AE}" pid="21" name="Mendeley Recent Style Name 9_1">
    <vt:lpwstr>Universidade de São Paulo - Escola de Comunicações e Artes - ABNT (Portuguese - Brazil)</vt:lpwstr>
  </property>
  <property fmtid="{D5CDD505-2E9C-101B-9397-08002B2CF9AE}" pid="22" name="Mendeley Document_1">
    <vt:lpwstr>True</vt:lpwstr>
  </property>
  <property fmtid="{D5CDD505-2E9C-101B-9397-08002B2CF9AE}" pid="23" name="Mendeley Unique User Id_1">
    <vt:lpwstr>d4de7bca-99d6-3cbb-9789-a9361c9b92c8</vt:lpwstr>
  </property>
  <property fmtid="{D5CDD505-2E9C-101B-9397-08002B2CF9AE}" pid="24" name="Mendeley Citation Style_1">
    <vt:lpwstr>http://www.zotero.org/styles/associacao-brasileira-de-normas-tecnicas-ufmg-face-full</vt:lpwstr>
  </property>
</Properties>
</file>