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62D1E" w14:textId="70E8035E" w:rsidR="002E6145" w:rsidRPr="00134AAC" w:rsidRDefault="00B06470">
      <w:pPr>
        <w:shd w:val="clear" w:color="auto" w:fill="FFFFFF"/>
        <w:spacing w:line="240" w:lineRule="auto"/>
        <w:jc w:val="center"/>
        <w:rPr>
          <w:rFonts w:ascii="Times New Roman" w:eastAsia="Times New Roman" w:hAnsi="Times New Roman" w:cs="Times New Roman"/>
          <w:b/>
          <w:color w:val="000000"/>
          <w:sz w:val="24"/>
          <w:szCs w:val="24"/>
        </w:rPr>
      </w:pPr>
      <w:r w:rsidRPr="00134AAC">
        <w:rPr>
          <w:rFonts w:ascii="Times New Roman" w:eastAsia="Times New Roman" w:hAnsi="Times New Roman" w:cs="Times New Roman"/>
          <w:b/>
          <w:color w:val="000000"/>
          <w:sz w:val="24"/>
          <w:szCs w:val="24"/>
        </w:rPr>
        <w:t>ARTIGO ORIGINAL</w:t>
      </w:r>
    </w:p>
    <w:p w14:paraId="4BBD9CFB" w14:textId="77777777" w:rsidR="002E6145" w:rsidRPr="00134AAC" w:rsidRDefault="00B06470">
      <w:pPr>
        <w:shd w:val="clear" w:color="auto" w:fill="FFFFFF"/>
        <w:spacing w:after="0" w:line="240" w:lineRule="auto"/>
        <w:jc w:val="center"/>
        <w:rPr>
          <w:rFonts w:ascii="Times New Roman" w:eastAsia="Times New Roman" w:hAnsi="Times New Roman" w:cs="Times New Roman"/>
          <w:b/>
          <w:sz w:val="24"/>
          <w:szCs w:val="24"/>
        </w:rPr>
      </w:pPr>
      <w:r w:rsidRPr="00134AAC">
        <w:rPr>
          <w:rFonts w:ascii="Times New Roman" w:eastAsia="Times New Roman" w:hAnsi="Times New Roman" w:cs="Times New Roman"/>
          <w:b/>
          <w:sz w:val="24"/>
          <w:szCs w:val="24"/>
        </w:rPr>
        <w:t>Desenvolvimento e validação de questionário sobre o uso de antimicrobianos na atenção primária à saúde</w:t>
      </w:r>
    </w:p>
    <w:p w14:paraId="443C3528" w14:textId="77777777" w:rsidR="002E6145" w:rsidRPr="00134AAC" w:rsidRDefault="00B06470">
      <w:pPr>
        <w:shd w:val="clear" w:color="auto" w:fill="FFFFFF"/>
        <w:spacing w:after="0" w:line="240" w:lineRule="auto"/>
        <w:jc w:val="center"/>
        <w:rPr>
          <w:rFonts w:ascii="Times New Roman" w:eastAsia="Times New Roman" w:hAnsi="Times New Roman" w:cs="Times New Roman"/>
          <w:i/>
          <w:sz w:val="24"/>
          <w:szCs w:val="24"/>
          <w:lang w:val="en-US"/>
        </w:rPr>
      </w:pPr>
      <w:r w:rsidRPr="00134AAC">
        <w:rPr>
          <w:rFonts w:ascii="Times New Roman" w:eastAsia="Times New Roman" w:hAnsi="Times New Roman" w:cs="Times New Roman"/>
          <w:i/>
          <w:sz w:val="24"/>
          <w:szCs w:val="24"/>
          <w:lang w:val="en-US"/>
        </w:rPr>
        <w:t>Development and validation of a questionnaire on the use of antimicrobials in primary health care</w:t>
      </w:r>
    </w:p>
    <w:p w14:paraId="54D00F8E" w14:textId="77777777" w:rsidR="002E6145" w:rsidRPr="00134AAC" w:rsidRDefault="00B06470">
      <w:pPr>
        <w:shd w:val="clear" w:color="auto" w:fill="FFFFFF"/>
        <w:spacing w:line="240" w:lineRule="auto"/>
        <w:jc w:val="center"/>
        <w:rPr>
          <w:rFonts w:ascii="Times New Roman" w:eastAsia="Times New Roman" w:hAnsi="Times New Roman" w:cs="Times New Roman"/>
          <w:i/>
          <w:sz w:val="24"/>
          <w:szCs w:val="24"/>
        </w:rPr>
      </w:pPr>
      <w:r w:rsidRPr="00134AAC">
        <w:rPr>
          <w:rFonts w:ascii="Times New Roman" w:eastAsia="Times New Roman" w:hAnsi="Times New Roman" w:cs="Times New Roman"/>
          <w:i/>
          <w:sz w:val="24"/>
          <w:szCs w:val="24"/>
        </w:rPr>
        <w:t>Desarrollo y validación de un cuestionario sobre el uso de antimicrobianos en la atención primaria de salud</w:t>
      </w:r>
    </w:p>
    <w:p w14:paraId="4CF19420"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Rochele Mosmann Menezes</w:t>
      </w:r>
      <w:r w:rsidRPr="00134AAC">
        <w:rPr>
          <w:rFonts w:ascii="Times New Roman" w:eastAsia="Times New Roman" w:hAnsi="Times New Roman" w:cs="Times New Roman"/>
          <w:sz w:val="24"/>
          <w:szCs w:val="24"/>
          <w:vertAlign w:val="superscript"/>
        </w:rPr>
        <w:t>1</w:t>
      </w:r>
      <w:r w:rsidRPr="00134AAC">
        <w:rPr>
          <w:rFonts w:ascii="Times New Roman" w:eastAsia="Times New Roman" w:hAnsi="Times New Roman" w:cs="Times New Roman"/>
          <w:sz w:val="24"/>
          <w:szCs w:val="24"/>
        </w:rPr>
        <w:t xml:space="preserve"> ORCID 0000-0002-1548-1607</w:t>
      </w:r>
    </w:p>
    <w:p w14:paraId="6ACC6BC9"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Paula Trevisan</w:t>
      </w:r>
      <w:r w:rsidRPr="00134AAC">
        <w:rPr>
          <w:rFonts w:ascii="Times New Roman" w:eastAsia="Times New Roman" w:hAnsi="Times New Roman" w:cs="Times New Roman"/>
          <w:sz w:val="24"/>
          <w:szCs w:val="24"/>
          <w:vertAlign w:val="superscript"/>
        </w:rPr>
        <w:t>2</w:t>
      </w:r>
      <w:r w:rsidRPr="00134AAC">
        <w:rPr>
          <w:rFonts w:ascii="Times New Roman" w:eastAsia="Times New Roman" w:hAnsi="Times New Roman" w:cs="Times New Roman"/>
          <w:sz w:val="24"/>
          <w:szCs w:val="24"/>
        </w:rPr>
        <w:t xml:space="preserve"> ORCID 0009-0007-0599-6010</w:t>
      </w:r>
    </w:p>
    <w:p w14:paraId="3F4FE7E5"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Mara Rubia Santos Gonçalves</w:t>
      </w:r>
      <w:r w:rsidRPr="00134AAC">
        <w:rPr>
          <w:rFonts w:ascii="Times New Roman" w:eastAsia="Times New Roman" w:hAnsi="Times New Roman" w:cs="Times New Roman"/>
          <w:sz w:val="24"/>
          <w:szCs w:val="24"/>
          <w:vertAlign w:val="superscript"/>
        </w:rPr>
        <w:t>3</w:t>
      </w:r>
      <w:r w:rsidRPr="00134AAC">
        <w:rPr>
          <w:rFonts w:ascii="Times New Roman" w:eastAsia="Times New Roman" w:hAnsi="Times New Roman" w:cs="Times New Roman"/>
          <w:sz w:val="24"/>
          <w:szCs w:val="24"/>
        </w:rPr>
        <w:t xml:space="preserve"> ORCID 0000-0003-1085-7510</w:t>
      </w:r>
    </w:p>
    <w:p w14:paraId="778008FD"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Magda Machado de Miranda Costa</w:t>
      </w:r>
      <w:r w:rsidRPr="00134AAC">
        <w:rPr>
          <w:rFonts w:ascii="Times New Roman" w:eastAsia="Times New Roman" w:hAnsi="Times New Roman" w:cs="Times New Roman"/>
          <w:sz w:val="24"/>
          <w:szCs w:val="24"/>
          <w:vertAlign w:val="superscript"/>
        </w:rPr>
        <w:t>3</w:t>
      </w:r>
      <w:r w:rsidRPr="00134AAC">
        <w:rPr>
          <w:rFonts w:ascii="Times New Roman" w:eastAsia="Times New Roman" w:hAnsi="Times New Roman" w:cs="Times New Roman"/>
          <w:sz w:val="24"/>
          <w:szCs w:val="24"/>
        </w:rPr>
        <w:t xml:space="preserve"> ORCID 0000-0002-6598-0113</w:t>
      </w:r>
    </w:p>
    <w:p w14:paraId="05E5D916"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Mariana Portela de Assis</w:t>
      </w:r>
      <w:r w:rsidRPr="00134AAC">
        <w:rPr>
          <w:rFonts w:ascii="Times New Roman" w:eastAsia="Times New Roman" w:hAnsi="Times New Roman" w:cs="Times New Roman"/>
          <w:sz w:val="24"/>
          <w:szCs w:val="24"/>
          <w:vertAlign w:val="superscript"/>
        </w:rPr>
        <w:t>1</w:t>
      </w:r>
      <w:r w:rsidRPr="00134AAC">
        <w:rPr>
          <w:rFonts w:ascii="Times New Roman" w:eastAsia="Times New Roman" w:hAnsi="Times New Roman" w:cs="Times New Roman"/>
          <w:sz w:val="24"/>
          <w:szCs w:val="24"/>
        </w:rPr>
        <w:t xml:space="preserve"> ORCID 0000-0002-9695-9237</w:t>
      </w:r>
    </w:p>
    <w:p w14:paraId="5DC5C82E"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Adália Pinheiro Loureiro</w:t>
      </w:r>
      <w:r w:rsidRPr="00134AAC">
        <w:rPr>
          <w:rFonts w:ascii="Times New Roman" w:eastAsia="Times New Roman" w:hAnsi="Times New Roman" w:cs="Times New Roman"/>
          <w:sz w:val="24"/>
          <w:szCs w:val="24"/>
          <w:vertAlign w:val="superscript"/>
        </w:rPr>
        <w:t>1</w:t>
      </w:r>
      <w:r w:rsidRPr="00134AAC">
        <w:rPr>
          <w:rFonts w:ascii="Times New Roman" w:eastAsia="Times New Roman" w:hAnsi="Times New Roman" w:cs="Times New Roman"/>
          <w:sz w:val="24"/>
          <w:szCs w:val="24"/>
        </w:rPr>
        <w:t xml:space="preserve"> ORCID 8755-1429-9152-2907</w:t>
      </w:r>
    </w:p>
    <w:p w14:paraId="079D667B"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Henrique Ziembowicz</w:t>
      </w:r>
      <w:r w:rsidRPr="00134AAC">
        <w:rPr>
          <w:rFonts w:ascii="Times New Roman" w:eastAsia="Times New Roman" w:hAnsi="Times New Roman" w:cs="Times New Roman"/>
          <w:sz w:val="24"/>
          <w:szCs w:val="24"/>
          <w:vertAlign w:val="superscript"/>
        </w:rPr>
        <w:t>1</w:t>
      </w:r>
      <w:r w:rsidRPr="00134AAC">
        <w:rPr>
          <w:rFonts w:ascii="Times New Roman" w:eastAsia="Times New Roman" w:hAnsi="Times New Roman" w:cs="Times New Roman"/>
          <w:sz w:val="24"/>
          <w:szCs w:val="24"/>
        </w:rPr>
        <w:t xml:space="preserve"> ORCID 0000-0001-9670-9353</w:t>
      </w:r>
    </w:p>
    <w:p w14:paraId="3C712106"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lang w:val="en-US"/>
        </w:rPr>
        <w:t>Eliane Carlosso Krummenauer</w:t>
      </w:r>
      <w:r w:rsidRPr="00134AAC">
        <w:rPr>
          <w:rFonts w:ascii="Times New Roman" w:eastAsia="Times New Roman" w:hAnsi="Times New Roman" w:cs="Times New Roman"/>
          <w:sz w:val="24"/>
          <w:szCs w:val="24"/>
          <w:vertAlign w:val="superscript"/>
          <w:lang w:val="en-US"/>
        </w:rPr>
        <w:t>1</w:t>
      </w:r>
      <w:r w:rsidRPr="00134AAC">
        <w:rPr>
          <w:rFonts w:ascii="Times New Roman" w:eastAsia="Times New Roman" w:hAnsi="Times New Roman" w:cs="Times New Roman"/>
          <w:sz w:val="24"/>
          <w:szCs w:val="24"/>
          <w:lang w:val="en-US"/>
        </w:rPr>
        <w:t xml:space="preserve"> ORCID 0000-0002-8824-4573</w:t>
      </w:r>
    </w:p>
    <w:p w14:paraId="5B0CC0B0"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lang w:val="en-US"/>
        </w:rPr>
        <w:t>Jane Renner Pollo Renner</w:t>
      </w:r>
      <w:r w:rsidRPr="00134AAC">
        <w:rPr>
          <w:rFonts w:ascii="Times New Roman" w:eastAsia="Times New Roman" w:hAnsi="Times New Roman" w:cs="Times New Roman"/>
          <w:sz w:val="24"/>
          <w:szCs w:val="24"/>
          <w:vertAlign w:val="superscript"/>
          <w:lang w:val="en-US"/>
        </w:rPr>
        <w:t>1</w:t>
      </w:r>
      <w:r w:rsidRPr="00134AAC">
        <w:rPr>
          <w:rFonts w:ascii="Times New Roman" w:eastAsia="Times New Roman" w:hAnsi="Times New Roman" w:cs="Times New Roman"/>
          <w:sz w:val="24"/>
          <w:szCs w:val="24"/>
          <w:lang w:val="en-US"/>
        </w:rPr>
        <w:t xml:space="preserve"> ORCID 0000-0003-0649-7081</w:t>
      </w:r>
    </w:p>
    <w:p w14:paraId="13491428" w14:textId="77777777" w:rsidR="002E6145" w:rsidRPr="00134AAC" w:rsidRDefault="00B06470">
      <w:pPr>
        <w:shd w:val="clear" w:color="auto" w:fill="FFFFFF"/>
        <w:spacing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Marcelo Carneiro</w:t>
      </w:r>
      <w:r w:rsidRPr="00134AAC">
        <w:rPr>
          <w:rFonts w:ascii="Times New Roman" w:eastAsia="Times New Roman" w:hAnsi="Times New Roman" w:cs="Times New Roman"/>
          <w:sz w:val="24"/>
          <w:szCs w:val="24"/>
          <w:vertAlign w:val="superscript"/>
        </w:rPr>
        <w:t>1</w:t>
      </w:r>
      <w:r w:rsidRPr="00134AAC">
        <w:rPr>
          <w:rFonts w:ascii="Times New Roman" w:eastAsia="Times New Roman" w:hAnsi="Times New Roman" w:cs="Times New Roman"/>
          <w:sz w:val="24"/>
          <w:szCs w:val="24"/>
        </w:rPr>
        <w:t xml:space="preserve"> ORCID 0000-0003-3603-1987</w:t>
      </w:r>
    </w:p>
    <w:p w14:paraId="7596EB70"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vertAlign w:val="superscript"/>
        </w:rPr>
        <w:t>1</w:t>
      </w:r>
      <w:r w:rsidRPr="00134AAC">
        <w:rPr>
          <w:rFonts w:ascii="Times New Roman" w:eastAsia="Times New Roman" w:hAnsi="Times New Roman" w:cs="Times New Roman"/>
          <w:sz w:val="24"/>
          <w:szCs w:val="24"/>
        </w:rPr>
        <w:t>Universidade de Santa Cruz do Sul, Santa Cruz do Sul, Rio Grande do Sul, Brasil.</w:t>
      </w:r>
    </w:p>
    <w:p w14:paraId="39D32EA2"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vertAlign w:val="superscript"/>
        </w:rPr>
        <w:t>2</w:t>
      </w:r>
      <w:r w:rsidRPr="00134AAC">
        <w:rPr>
          <w:rFonts w:ascii="Times New Roman" w:eastAsia="Times New Roman" w:hAnsi="Times New Roman" w:cs="Times New Roman"/>
          <w:sz w:val="24"/>
          <w:szCs w:val="24"/>
        </w:rPr>
        <w:t>Hospital Santa Cruz, Santa Cruz do Sul, Rio Grande do Sul, Brasil.</w:t>
      </w:r>
    </w:p>
    <w:p w14:paraId="75B0DBEF" w14:textId="77777777" w:rsidR="002E6145" w:rsidRPr="00134AAC" w:rsidRDefault="00B06470">
      <w:pPr>
        <w:shd w:val="clear" w:color="auto" w:fill="FFFFFF"/>
        <w:spacing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vertAlign w:val="superscript"/>
        </w:rPr>
        <w:t>3</w:t>
      </w:r>
      <w:r w:rsidRPr="00134AAC">
        <w:rPr>
          <w:rFonts w:ascii="Times New Roman" w:eastAsia="Times New Roman" w:hAnsi="Times New Roman" w:cs="Times New Roman"/>
          <w:sz w:val="24"/>
          <w:szCs w:val="24"/>
        </w:rPr>
        <w:t>Agência Nacional de Vigilância Sanitária – ANVISA/GVIMS/GGTES</w:t>
      </w:r>
    </w:p>
    <w:p w14:paraId="1CF24CEC"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Endereço: Avenida Independência 2293, Santa Cruz do Sul, Rio Grande do Sul, Brasil.</w:t>
      </w:r>
    </w:p>
    <w:p w14:paraId="167DBF32" w14:textId="77777777" w:rsidR="002E6145" w:rsidRPr="00134AAC" w:rsidRDefault="00B06470">
      <w:pPr>
        <w:shd w:val="clear" w:color="auto" w:fill="FFFFFF"/>
        <w:spacing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 xml:space="preserve">E-mail: </w:t>
      </w:r>
      <w:hyperlink r:id="rId7">
        <w:r w:rsidRPr="00134AAC">
          <w:rPr>
            <w:rFonts w:ascii="Times New Roman" w:eastAsia="Times New Roman" w:hAnsi="Times New Roman" w:cs="Times New Roman"/>
            <w:sz w:val="24"/>
            <w:szCs w:val="24"/>
          </w:rPr>
          <w:t xml:space="preserve">rochelemenezes@unisc.br </w:t>
        </w:r>
      </w:hyperlink>
    </w:p>
    <w:p w14:paraId="711CA340" w14:textId="77777777" w:rsidR="002E6145" w:rsidRPr="00134AAC" w:rsidRDefault="00B06470">
      <w:pPr>
        <w:shd w:val="clear" w:color="auto" w:fill="FFFFFF"/>
        <w:spacing w:after="0" w:line="240" w:lineRule="auto"/>
        <w:jc w:val="right"/>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Submetido: 19/04/2024</w:t>
      </w:r>
    </w:p>
    <w:p w14:paraId="72AFB007" w14:textId="77777777" w:rsidR="002E6145" w:rsidRPr="00134AAC" w:rsidRDefault="00B06470">
      <w:pPr>
        <w:shd w:val="clear" w:color="auto" w:fill="FFFFFF"/>
        <w:spacing w:line="240" w:lineRule="auto"/>
        <w:jc w:val="right"/>
        <w:rPr>
          <w:rFonts w:ascii="Times New Roman" w:eastAsia="Times New Roman" w:hAnsi="Times New Roman" w:cs="Times New Roman"/>
          <w:i/>
          <w:sz w:val="24"/>
          <w:szCs w:val="24"/>
        </w:rPr>
      </w:pPr>
      <w:r w:rsidRPr="00134AAC">
        <w:rPr>
          <w:rFonts w:ascii="Times New Roman" w:eastAsia="Times New Roman" w:hAnsi="Times New Roman" w:cs="Times New Roman"/>
          <w:sz w:val="24"/>
          <w:szCs w:val="24"/>
        </w:rPr>
        <w:t>Aceite: 02/07/2024</w:t>
      </w:r>
    </w:p>
    <w:p w14:paraId="5900FE64" w14:textId="77777777" w:rsidR="002E6145" w:rsidRPr="00134AAC" w:rsidRDefault="00B06470">
      <w:pPr>
        <w:shd w:val="clear" w:color="auto" w:fill="FFFFFF"/>
        <w:spacing w:line="240" w:lineRule="auto"/>
        <w:rPr>
          <w:rFonts w:ascii="Times New Roman" w:eastAsia="Times New Roman" w:hAnsi="Times New Roman" w:cs="Times New Roman"/>
          <w:b/>
          <w:sz w:val="24"/>
          <w:szCs w:val="24"/>
        </w:rPr>
      </w:pPr>
      <w:r w:rsidRPr="00134AAC">
        <w:rPr>
          <w:rFonts w:ascii="Times New Roman" w:eastAsia="Times New Roman" w:hAnsi="Times New Roman" w:cs="Times New Roman"/>
          <w:b/>
          <w:sz w:val="24"/>
          <w:szCs w:val="24"/>
        </w:rPr>
        <w:t xml:space="preserve">RESUMO </w:t>
      </w:r>
    </w:p>
    <w:p w14:paraId="162C3A4B" w14:textId="07448FD3" w:rsidR="002E6145" w:rsidRPr="00134AAC" w:rsidRDefault="00B06470">
      <w:pPr>
        <w:shd w:val="clear" w:color="auto" w:fill="FFFFFF"/>
        <w:spacing w:line="24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b/>
          <w:sz w:val="24"/>
          <w:szCs w:val="24"/>
        </w:rPr>
        <w:t>Justificativa e Objetivos:</w:t>
      </w:r>
      <w:r w:rsidRPr="00134AAC">
        <w:rPr>
          <w:rFonts w:ascii="Times New Roman" w:eastAsia="Times New Roman" w:hAnsi="Times New Roman" w:cs="Times New Roman"/>
          <w:sz w:val="24"/>
          <w:szCs w:val="24"/>
        </w:rPr>
        <w:t xml:space="preserve"> A resistência antimicrobiana é uma ameaça global à saúde pública, relacionada ao uso excessivo e inadequado de antimicrobianos. No Brasil, há poucos estudos sobre estratégias de prevenção e controle de infecções e gerenciamento de antimicrobianos na atenção primária à saúde. O objetivo deste estudo foi desenvolver e validar uma ferramenta de avaliação destinada a investigar as estratégias adotadas pelos serviços de atenção primária à saúde para a prevenção e controle de infecções e o gerenciamento do uso de antimicrobianos. </w:t>
      </w:r>
      <w:r w:rsidRPr="00134AAC">
        <w:rPr>
          <w:rFonts w:ascii="Times New Roman" w:eastAsia="Times New Roman" w:hAnsi="Times New Roman" w:cs="Times New Roman"/>
          <w:b/>
          <w:sz w:val="24"/>
          <w:szCs w:val="24"/>
        </w:rPr>
        <w:t>Métodos:</w:t>
      </w:r>
      <w:r w:rsidRPr="00134AAC">
        <w:rPr>
          <w:rFonts w:ascii="Times New Roman" w:eastAsia="Times New Roman" w:hAnsi="Times New Roman" w:cs="Times New Roman"/>
          <w:sz w:val="24"/>
          <w:szCs w:val="24"/>
        </w:rPr>
        <w:t xml:space="preserve"> Realizado entre fevereiro e abril de 2022, o estudo envolveu cinco etapas: revisão da literatura, desenvolvimento das questões, validação por especialistas, finalização do questionário e disseminação. O Índice de Validade de Conteúdo foi calculado para avaliar a concordância dos especialistas. </w:t>
      </w:r>
      <w:r w:rsidRPr="00134AAC">
        <w:rPr>
          <w:rFonts w:ascii="Times New Roman" w:eastAsia="Times New Roman" w:hAnsi="Times New Roman" w:cs="Times New Roman"/>
          <w:b/>
          <w:sz w:val="24"/>
          <w:szCs w:val="24"/>
        </w:rPr>
        <w:t>Resultados:</w:t>
      </w:r>
      <w:r w:rsidRPr="00134AAC">
        <w:rPr>
          <w:rFonts w:ascii="Times New Roman" w:eastAsia="Times New Roman" w:hAnsi="Times New Roman" w:cs="Times New Roman"/>
          <w:sz w:val="24"/>
          <w:szCs w:val="24"/>
        </w:rPr>
        <w:t xml:space="preserve"> O questionário final, com 102 questões, foi refinado com base no feedback dos especialistas. O IVC médio geral foi de 0,74, indicando boa concordância entre os especialistas quanto à representatividade dos itens. As sugestões resultaram em melhorias no vocabulário e estrutura do questionário. </w:t>
      </w:r>
      <w:r w:rsidRPr="00134AAC">
        <w:rPr>
          <w:rFonts w:ascii="Times New Roman" w:eastAsia="Times New Roman" w:hAnsi="Times New Roman" w:cs="Times New Roman"/>
          <w:b/>
          <w:sz w:val="24"/>
          <w:szCs w:val="24"/>
        </w:rPr>
        <w:t>Conclusão:</w:t>
      </w:r>
      <w:r w:rsidRPr="00134AAC">
        <w:rPr>
          <w:rFonts w:ascii="Times New Roman" w:eastAsia="Times New Roman" w:hAnsi="Times New Roman" w:cs="Times New Roman"/>
          <w:sz w:val="24"/>
          <w:szCs w:val="24"/>
        </w:rPr>
        <w:t xml:space="preserve"> O questionário desenvolvido e validado é uma ferramenta precisa e confiável para avaliar estratégias de prevenção e controle de infecções e gerenciamento de antimicrobianos na Atenção Primária à Saúde. Sua utilização pode fornecer dados importantes para melhorar as práticas de saúde, visando à redução da resistência antimicrobiana e à melhoria da qualidade dos serviços. Este estudo destaca a importância de pesquisas na área para promover o uso racional de antimicrobianos e fortalecer o sistema de saúde.</w:t>
      </w:r>
    </w:p>
    <w:p w14:paraId="39C4FB4E" w14:textId="77777777" w:rsidR="002E6145" w:rsidRPr="00134AAC" w:rsidRDefault="00B06470">
      <w:pPr>
        <w:shd w:val="clear" w:color="auto" w:fill="FFFFFF"/>
        <w:spacing w:line="240" w:lineRule="auto"/>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b/>
          <w:sz w:val="24"/>
          <w:szCs w:val="24"/>
        </w:rPr>
        <w:lastRenderedPageBreak/>
        <w:t>Descritores:</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rPr>
        <w:t>Atenção Primária à Saúde</w:t>
      </w:r>
      <w:r w:rsidRPr="00134AAC">
        <w:rPr>
          <w:rFonts w:ascii="Times New Roman" w:eastAsia="Times New Roman" w:hAnsi="Times New Roman" w:cs="Times New Roman"/>
          <w:sz w:val="24"/>
          <w:szCs w:val="24"/>
        </w:rPr>
        <w:t>.</w:t>
      </w:r>
      <w:r w:rsidRPr="00134AAC">
        <w:rPr>
          <w:rFonts w:ascii="Times New Roman" w:eastAsia="Times New Roman" w:hAnsi="Times New Roman" w:cs="Times New Roman"/>
          <w:i/>
          <w:sz w:val="24"/>
          <w:szCs w:val="24"/>
        </w:rPr>
        <w:t xml:space="preserve"> Gestão de Antimicrobianos</w:t>
      </w:r>
      <w:r w:rsidRPr="00134AAC">
        <w:rPr>
          <w:rFonts w:ascii="Times New Roman" w:eastAsia="Times New Roman" w:hAnsi="Times New Roman" w:cs="Times New Roman"/>
          <w:sz w:val="24"/>
          <w:szCs w:val="24"/>
        </w:rPr>
        <w:t>.</w:t>
      </w:r>
      <w:r w:rsidRPr="00134AAC">
        <w:rPr>
          <w:rFonts w:ascii="Times New Roman" w:eastAsia="Times New Roman" w:hAnsi="Times New Roman" w:cs="Times New Roman"/>
          <w:i/>
          <w:sz w:val="24"/>
          <w:szCs w:val="24"/>
        </w:rPr>
        <w:t xml:space="preserve"> Controle de Infecções</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lang w:val="en-US"/>
        </w:rPr>
        <w:t>Inquéritos e Questionários</w:t>
      </w:r>
      <w:r w:rsidRPr="00134AAC">
        <w:rPr>
          <w:rFonts w:ascii="Times New Roman" w:eastAsia="Times New Roman" w:hAnsi="Times New Roman" w:cs="Times New Roman"/>
          <w:sz w:val="24"/>
          <w:szCs w:val="24"/>
          <w:lang w:val="en-US"/>
        </w:rPr>
        <w:t xml:space="preserve">. </w:t>
      </w:r>
      <w:r w:rsidRPr="00134AAC">
        <w:rPr>
          <w:rFonts w:ascii="Times New Roman" w:eastAsia="Times New Roman" w:hAnsi="Times New Roman" w:cs="Times New Roman"/>
          <w:i/>
          <w:sz w:val="24"/>
          <w:szCs w:val="24"/>
          <w:lang w:val="en-US"/>
        </w:rPr>
        <w:t>Estudo de Validação</w:t>
      </w:r>
      <w:r w:rsidRPr="00134AAC">
        <w:rPr>
          <w:rFonts w:ascii="Times New Roman" w:eastAsia="Times New Roman" w:hAnsi="Times New Roman" w:cs="Times New Roman"/>
          <w:sz w:val="24"/>
          <w:szCs w:val="24"/>
          <w:lang w:val="en-US"/>
        </w:rPr>
        <w:t>.</w:t>
      </w:r>
    </w:p>
    <w:p w14:paraId="54E9B1AE" w14:textId="77777777" w:rsidR="002E6145" w:rsidRPr="00134AAC" w:rsidRDefault="00B06470">
      <w:pPr>
        <w:shd w:val="clear" w:color="auto" w:fill="FFFFFF"/>
        <w:spacing w:line="240" w:lineRule="auto"/>
        <w:rPr>
          <w:rFonts w:ascii="Times New Roman" w:eastAsia="Times New Roman" w:hAnsi="Times New Roman" w:cs="Times New Roman"/>
          <w:b/>
          <w:sz w:val="24"/>
          <w:szCs w:val="24"/>
          <w:lang w:val="en-US"/>
        </w:rPr>
      </w:pPr>
      <w:r w:rsidRPr="00134AAC">
        <w:rPr>
          <w:rFonts w:ascii="Times New Roman" w:eastAsia="Times New Roman" w:hAnsi="Times New Roman" w:cs="Times New Roman"/>
          <w:b/>
          <w:sz w:val="24"/>
          <w:szCs w:val="24"/>
          <w:lang w:val="en-US"/>
        </w:rPr>
        <w:t>ABSTRACT</w:t>
      </w:r>
    </w:p>
    <w:p w14:paraId="245251F4" w14:textId="5EA5DBD2" w:rsidR="002E6145" w:rsidRPr="00134AAC" w:rsidRDefault="00B06470">
      <w:pPr>
        <w:shd w:val="clear" w:color="auto" w:fill="FFFFFF"/>
        <w:spacing w:line="240" w:lineRule="auto"/>
        <w:jc w:val="both"/>
        <w:rPr>
          <w:rFonts w:ascii="Times New Roman" w:eastAsia="Times New Roman" w:hAnsi="Times New Roman" w:cs="Times New Roman"/>
          <w:b/>
          <w:sz w:val="24"/>
          <w:szCs w:val="24"/>
          <w:lang w:val="en-US"/>
        </w:rPr>
      </w:pPr>
      <w:r w:rsidRPr="00134AAC">
        <w:rPr>
          <w:rFonts w:ascii="Times New Roman" w:eastAsia="Times New Roman" w:hAnsi="Times New Roman" w:cs="Times New Roman"/>
          <w:b/>
          <w:sz w:val="24"/>
          <w:szCs w:val="24"/>
          <w:lang w:val="en-US"/>
        </w:rPr>
        <w:t xml:space="preserve">Background and </w:t>
      </w:r>
      <w:r w:rsidR="005C4861">
        <w:rPr>
          <w:rFonts w:ascii="Times New Roman" w:eastAsia="Times New Roman" w:hAnsi="Times New Roman" w:cs="Times New Roman"/>
          <w:b/>
          <w:sz w:val="24"/>
          <w:szCs w:val="24"/>
          <w:lang w:val="en-US"/>
        </w:rPr>
        <w:t>O</w:t>
      </w:r>
      <w:r w:rsidRPr="00134AAC">
        <w:rPr>
          <w:rFonts w:ascii="Times New Roman" w:eastAsia="Times New Roman" w:hAnsi="Times New Roman" w:cs="Times New Roman"/>
          <w:b/>
          <w:sz w:val="24"/>
          <w:szCs w:val="24"/>
          <w:lang w:val="en-US"/>
        </w:rPr>
        <w:t xml:space="preserve">bjectives: </w:t>
      </w:r>
      <w:r w:rsidRPr="00134AAC">
        <w:rPr>
          <w:rFonts w:ascii="Times New Roman" w:eastAsia="Times New Roman" w:hAnsi="Times New Roman" w:cs="Times New Roman"/>
          <w:sz w:val="24"/>
          <w:szCs w:val="24"/>
          <w:lang w:val="en-US"/>
        </w:rPr>
        <w:t xml:space="preserve">Antimicrobial resistance is a global threat to public health and is related to excessive and inappropriate use of antimicrobials. In Brazil, there are few studies on infection prevention and control strategies and antimicrobial management in primary healthcare. In this study, we developed and validated a questionnaire to assess these strategies. The aim of this study was to develop and validate an evaluation tool designed to investigate the strategies adopted by primary healthcare services to prevent and control infections and manage the use of antimicrobials. </w:t>
      </w:r>
      <w:r w:rsidRPr="00134AAC">
        <w:rPr>
          <w:rFonts w:ascii="Times New Roman" w:eastAsia="Times New Roman" w:hAnsi="Times New Roman" w:cs="Times New Roman"/>
          <w:b/>
          <w:sz w:val="24"/>
          <w:szCs w:val="24"/>
          <w:lang w:val="en-US"/>
        </w:rPr>
        <w:t>Methods:</w:t>
      </w:r>
      <w:r w:rsidRPr="00134AAC">
        <w:rPr>
          <w:rFonts w:ascii="Times New Roman" w:eastAsia="Times New Roman" w:hAnsi="Times New Roman" w:cs="Times New Roman"/>
          <w:sz w:val="24"/>
          <w:szCs w:val="24"/>
          <w:lang w:val="en-US"/>
        </w:rPr>
        <w:t xml:space="preserve"> Between February and April 2022, the study involved five stages: literature review, question development, expert validation, questionnaire finalization, and dissemination. The Content Validity Index was calculated to assess the expert agreement. </w:t>
      </w:r>
      <w:r w:rsidRPr="00134AAC">
        <w:rPr>
          <w:rFonts w:ascii="Times New Roman" w:eastAsia="Times New Roman" w:hAnsi="Times New Roman" w:cs="Times New Roman"/>
          <w:b/>
          <w:sz w:val="24"/>
          <w:szCs w:val="24"/>
          <w:lang w:val="en-US"/>
        </w:rPr>
        <w:t>Results:</w:t>
      </w:r>
      <w:r w:rsidRPr="00134AAC">
        <w:rPr>
          <w:rFonts w:ascii="Times New Roman" w:eastAsia="Times New Roman" w:hAnsi="Times New Roman" w:cs="Times New Roman"/>
          <w:sz w:val="24"/>
          <w:szCs w:val="24"/>
          <w:lang w:val="en-US"/>
        </w:rPr>
        <w:t xml:space="preserve"> The final questionnaire with 102 questions was refined based on feedback from experts. The overall average CVI was 0.74, indicating good agreement between experts regarding the representativeness of the items.These suggestions resulted in improvements in the vocabulary and structure of the questionnaire. </w:t>
      </w:r>
      <w:r w:rsidRPr="00134AAC">
        <w:rPr>
          <w:rFonts w:ascii="Times New Roman" w:eastAsia="Times New Roman" w:hAnsi="Times New Roman" w:cs="Times New Roman"/>
          <w:b/>
          <w:sz w:val="24"/>
          <w:szCs w:val="24"/>
          <w:lang w:val="en-US"/>
        </w:rPr>
        <w:t>Conclusion</w:t>
      </w:r>
      <w:r w:rsidRPr="00134AAC">
        <w:rPr>
          <w:rFonts w:ascii="Times New Roman" w:eastAsia="Times New Roman" w:hAnsi="Times New Roman" w:cs="Times New Roman"/>
          <w:sz w:val="24"/>
          <w:szCs w:val="24"/>
          <w:lang w:val="en-US"/>
        </w:rPr>
        <w:t>: The questionnaire developed and validated is an accurate and reliable tool for evaluating infection prevention and control strategies and antimicrobial stewardship in primary healthcare. Its use can provide important data for improving health practices, with a view to reducing antimicrobial resistance and improving the quality of services. This study highlights the importance of research in this area to promote the rational use of antimicrobials and strengthen the health system in primary health care.</w:t>
      </w:r>
    </w:p>
    <w:p w14:paraId="051ECD25" w14:textId="77777777" w:rsidR="002E6145" w:rsidRPr="00134AAC" w:rsidRDefault="00B06470">
      <w:pPr>
        <w:shd w:val="clear" w:color="auto" w:fill="FFFFFF"/>
        <w:spacing w:line="24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b/>
          <w:sz w:val="24"/>
          <w:szCs w:val="24"/>
          <w:lang w:val="en-US"/>
        </w:rPr>
        <w:t>Keywords:</w:t>
      </w:r>
      <w:r w:rsidRPr="00134AAC">
        <w:rPr>
          <w:rFonts w:ascii="Times New Roman" w:eastAsia="Times New Roman" w:hAnsi="Times New Roman" w:cs="Times New Roman"/>
          <w:b/>
          <w:i/>
          <w:sz w:val="24"/>
          <w:szCs w:val="24"/>
          <w:lang w:val="en-US"/>
        </w:rPr>
        <w:t xml:space="preserve"> </w:t>
      </w:r>
      <w:r w:rsidRPr="00134AAC">
        <w:rPr>
          <w:rFonts w:ascii="Times New Roman" w:eastAsia="Times New Roman" w:hAnsi="Times New Roman" w:cs="Times New Roman"/>
          <w:i/>
          <w:sz w:val="24"/>
          <w:szCs w:val="24"/>
          <w:lang w:val="en-US"/>
        </w:rPr>
        <w:t>Primary Health Care</w:t>
      </w:r>
      <w:r w:rsidRPr="00134AAC">
        <w:rPr>
          <w:rFonts w:ascii="Times New Roman" w:eastAsia="Times New Roman" w:hAnsi="Times New Roman" w:cs="Times New Roman"/>
          <w:sz w:val="24"/>
          <w:szCs w:val="24"/>
          <w:lang w:val="en-US"/>
        </w:rPr>
        <w:t xml:space="preserve">. </w:t>
      </w:r>
      <w:r w:rsidRPr="00134AAC">
        <w:rPr>
          <w:rFonts w:ascii="Times New Roman" w:eastAsia="Times New Roman" w:hAnsi="Times New Roman" w:cs="Times New Roman"/>
          <w:i/>
          <w:sz w:val="24"/>
          <w:szCs w:val="24"/>
          <w:lang w:val="en-US"/>
        </w:rPr>
        <w:t>Antimicrobial Stewardship</w:t>
      </w:r>
      <w:r w:rsidRPr="00134AAC">
        <w:rPr>
          <w:rFonts w:ascii="Times New Roman" w:eastAsia="Times New Roman" w:hAnsi="Times New Roman" w:cs="Times New Roman"/>
          <w:sz w:val="24"/>
          <w:szCs w:val="24"/>
          <w:lang w:val="en-US"/>
        </w:rPr>
        <w:t xml:space="preserve">. </w:t>
      </w:r>
      <w:r w:rsidRPr="00134AAC">
        <w:rPr>
          <w:rFonts w:ascii="Times New Roman" w:eastAsia="Times New Roman" w:hAnsi="Times New Roman" w:cs="Times New Roman"/>
          <w:i/>
          <w:sz w:val="24"/>
          <w:szCs w:val="24"/>
          <w:lang w:val="en-US"/>
        </w:rPr>
        <w:t>Infection Control</w:t>
      </w:r>
      <w:r w:rsidRPr="00134AAC">
        <w:rPr>
          <w:rFonts w:ascii="Times New Roman" w:eastAsia="Times New Roman" w:hAnsi="Times New Roman" w:cs="Times New Roman"/>
          <w:sz w:val="24"/>
          <w:szCs w:val="24"/>
          <w:lang w:val="en-US"/>
        </w:rPr>
        <w:t xml:space="preserve">. </w:t>
      </w:r>
      <w:r w:rsidRPr="00134AAC">
        <w:rPr>
          <w:rFonts w:ascii="Times New Roman" w:eastAsia="Times New Roman" w:hAnsi="Times New Roman" w:cs="Times New Roman"/>
          <w:i/>
          <w:sz w:val="24"/>
          <w:szCs w:val="24"/>
          <w:lang w:val="en-US"/>
        </w:rPr>
        <w:t>Surveys and Questionnaires</w:t>
      </w:r>
      <w:r w:rsidRPr="00134AAC">
        <w:rPr>
          <w:rFonts w:ascii="Times New Roman" w:eastAsia="Times New Roman" w:hAnsi="Times New Roman" w:cs="Times New Roman"/>
          <w:sz w:val="24"/>
          <w:szCs w:val="24"/>
          <w:lang w:val="en-US"/>
        </w:rPr>
        <w:t xml:space="preserve">. </w:t>
      </w:r>
      <w:r w:rsidRPr="00134AAC">
        <w:rPr>
          <w:rFonts w:ascii="Times New Roman" w:eastAsia="Times New Roman" w:hAnsi="Times New Roman" w:cs="Times New Roman"/>
          <w:i/>
          <w:sz w:val="24"/>
          <w:szCs w:val="24"/>
        </w:rPr>
        <w:t>Validation Study</w:t>
      </w:r>
      <w:r w:rsidRPr="00134AAC">
        <w:rPr>
          <w:rFonts w:ascii="Times New Roman" w:eastAsia="Times New Roman" w:hAnsi="Times New Roman" w:cs="Times New Roman"/>
          <w:sz w:val="24"/>
          <w:szCs w:val="24"/>
        </w:rPr>
        <w:t>.</w:t>
      </w:r>
    </w:p>
    <w:p w14:paraId="09B0AD35" w14:textId="77777777" w:rsidR="002E6145" w:rsidRPr="00134AAC" w:rsidRDefault="00B06470">
      <w:pPr>
        <w:shd w:val="clear" w:color="auto" w:fill="FFFFFF"/>
        <w:spacing w:line="240" w:lineRule="auto"/>
        <w:rPr>
          <w:rFonts w:ascii="Times New Roman" w:eastAsia="Times New Roman" w:hAnsi="Times New Roman" w:cs="Times New Roman"/>
          <w:b/>
          <w:sz w:val="24"/>
          <w:szCs w:val="24"/>
        </w:rPr>
      </w:pPr>
      <w:r w:rsidRPr="00134AAC">
        <w:rPr>
          <w:rFonts w:ascii="Times New Roman" w:eastAsia="Times New Roman" w:hAnsi="Times New Roman" w:cs="Times New Roman"/>
          <w:b/>
          <w:sz w:val="24"/>
          <w:szCs w:val="24"/>
        </w:rPr>
        <w:t>RESUMEN</w:t>
      </w:r>
    </w:p>
    <w:p w14:paraId="59F17689" w14:textId="77777777" w:rsidR="002E6145" w:rsidRPr="00134AAC" w:rsidRDefault="00B06470">
      <w:pPr>
        <w:shd w:val="clear" w:color="auto" w:fill="FFFFFF"/>
        <w:spacing w:line="24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b/>
          <w:sz w:val="24"/>
          <w:szCs w:val="24"/>
        </w:rPr>
        <w:t>Justificación y Objetivos:</w:t>
      </w:r>
      <w:r w:rsidRPr="00134AAC">
        <w:rPr>
          <w:rFonts w:ascii="Times New Roman" w:eastAsia="Times New Roman" w:hAnsi="Times New Roman" w:cs="Times New Roman"/>
          <w:sz w:val="24"/>
          <w:szCs w:val="24"/>
        </w:rPr>
        <w:t xml:space="preserve"> La resistencia antimicrobiana representa una amenaza global para la salud pública, asociada al uso excesivo e inadecuado de antimicrobianos. En Brasil, hay pocos estudios sobre estrategias de prevención y control de infecciones y gestión de antimicrobianos en la atención primaria de salud. Este estudio desarrolló y validó un cuestionario para evaluar dichas estrategias.  El objetivo de este estudio fue desarrollar y validar una herramienta de evaluación destinada a investigar las estrategias adoptadas por los servicios de atención primaria de salud para la prevención y control de infecciones, así como para el manejo del uso de antimicrobianos. </w:t>
      </w:r>
      <w:r w:rsidRPr="00134AAC">
        <w:rPr>
          <w:rFonts w:ascii="Times New Roman" w:eastAsia="Times New Roman" w:hAnsi="Times New Roman" w:cs="Times New Roman"/>
          <w:b/>
          <w:sz w:val="24"/>
          <w:szCs w:val="24"/>
        </w:rPr>
        <w:t>Métodos:</w:t>
      </w:r>
      <w:r w:rsidRPr="00134AAC">
        <w:rPr>
          <w:rFonts w:ascii="Times New Roman" w:eastAsia="Times New Roman" w:hAnsi="Times New Roman" w:cs="Times New Roman"/>
          <w:sz w:val="24"/>
          <w:szCs w:val="24"/>
        </w:rPr>
        <w:t xml:space="preserve"> Realizado entre febrero y abril de 2022, el estudio comprendió cinco etapas: revisión de literatura, desarrollo de preguntas, validación por expertos, finalización del cuestionario y difusión. Se calculó el Índice de Validez de Contenido para evaluar la concordancia de los expertos. </w:t>
      </w:r>
      <w:r w:rsidRPr="00134AAC">
        <w:rPr>
          <w:rFonts w:ascii="Times New Roman" w:eastAsia="Times New Roman" w:hAnsi="Times New Roman" w:cs="Times New Roman"/>
          <w:b/>
          <w:sz w:val="24"/>
          <w:szCs w:val="24"/>
        </w:rPr>
        <w:t>Resultados:</w:t>
      </w:r>
      <w:r w:rsidRPr="00134AAC">
        <w:rPr>
          <w:rFonts w:ascii="Times New Roman" w:eastAsia="Times New Roman" w:hAnsi="Times New Roman" w:cs="Times New Roman"/>
          <w:sz w:val="24"/>
          <w:szCs w:val="24"/>
        </w:rPr>
        <w:t xml:space="preserve"> El cuestionario final, con 102 preguntas, se refinó según la retroalimentación de los expertos. El IVC medio general fue de 0,74, indicando una buena concordancia entre los especialistas en cuanto a la representatividad de los elementos. Las sugerencias resultaron en mejoras en el vocabulario y estructura del cuestionario. </w:t>
      </w:r>
      <w:r w:rsidRPr="00134AAC">
        <w:rPr>
          <w:rFonts w:ascii="Times New Roman" w:eastAsia="Times New Roman" w:hAnsi="Times New Roman" w:cs="Times New Roman"/>
          <w:b/>
          <w:sz w:val="24"/>
          <w:szCs w:val="24"/>
        </w:rPr>
        <w:t>Conclusión:</w:t>
      </w:r>
      <w:r w:rsidRPr="00134AAC">
        <w:rPr>
          <w:rFonts w:ascii="Times New Roman" w:eastAsia="Times New Roman" w:hAnsi="Times New Roman" w:cs="Times New Roman"/>
          <w:sz w:val="24"/>
          <w:szCs w:val="24"/>
        </w:rPr>
        <w:t xml:space="preserve"> El cuestionario desarrollado y validado es una herramienta precisa y confiable para evaluar estrategias de prevención y control de infecciones y gestión de antimicrobianos en la Atención Primaria de Salud. Su uso puede proporcionar datos importantes para mejorar las prácticas de salud, con el objetivo de reducir la resistencia antimicrobiana y mejorar la calidad de los servicios. Este estudio destaca la importancia de la investigación en esta área para promover el uso racional de antimicrobianos y fortalecer el sistema de salud.</w:t>
      </w:r>
    </w:p>
    <w:p w14:paraId="1F5D4D06" w14:textId="77777777" w:rsidR="002E6145" w:rsidRPr="00134AAC" w:rsidRDefault="00B06470">
      <w:pPr>
        <w:jc w:val="both"/>
        <w:rPr>
          <w:rFonts w:ascii="Times New Roman" w:eastAsia="Times New Roman" w:hAnsi="Times New Roman" w:cs="Times New Roman"/>
          <w:sz w:val="24"/>
          <w:szCs w:val="24"/>
        </w:rPr>
      </w:pPr>
      <w:r w:rsidRPr="00134AAC">
        <w:rPr>
          <w:rFonts w:ascii="Times New Roman" w:eastAsia="Times New Roman" w:hAnsi="Times New Roman" w:cs="Times New Roman"/>
          <w:b/>
          <w:sz w:val="24"/>
          <w:szCs w:val="24"/>
        </w:rPr>
        <w:lastRenderedPageBreak/>
        <w:t>Palabras Clave:</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rPr>
        <w:t>Atención Primaria de Salud</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rPr>
        <w:t>Programas de Optimización del Uso de los Antimicrobianos</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rPr>
        <w:t>Control de Infecciones</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rPr>
        <w:t>Encuestas y Cuestionarios</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i/>
          <w:sz w:val="24"/>
          <w:szCs w:val="24"/>
        </w:rPr>
        <w:t>Estudio de Validación</w:t>
      </w:r>
      <w:r w:rsidRPr="00134AAC">
        <w:rPr>
          <w:rFonts w:ascii="Times New Roman" w:eastAsia="Times New Roman" w:hAnsi="Times New Roman" w:cs="Times New Roman"/>
          <w:sz w:val="24"/>
          <w:szCs w:val="24"/>
        </w:rPr>
        <w:t xml:space="preserve">. </w:t>
      </w:r>
    </w:p>
    <w:p w14:paraId="59609E31" w14:textId="77777777" w:rsidR="002E6145" w:rsidRPr="00134AAC" w:rsidRDefault="00B06470">
      <w:pPr>
        <w:pStyle w:val="Ttulo1"/>
        <w:rPr>
          <w:color w:val="FF0000"/>
        </w:rPr>
      </w:pPr>
      <w:bookmarkStart w:id="0" w:name="_heading=h.gjdgxs" w:colFirst="0" w:colLast="0"/>
      <w:bookmarkEnd w:id="0"/>
      <w:r w:rsidRPr="00134AAC">
        <w:t xml:space="preserve">INTRODUÇÃO </w:t>
      </w:r>
    </w:p>
    <w:p w14:paraId="6AA1B4C9" w14:textId="14B89264"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A resistência antimicrobiana (RAM) é uma ameaça global à saúde pública, intrinsecamente ligada ao uso de agentes antimicrobianos (ATM). Estimativas de 2019 apontam para cerca de 4,95 milhões de mortes em todo o mundo associadas à RAM bacteriana, com 1,27 milhão delas atribuíveis diretamente a essa resistência</w:t>
      </w:r>
      <w:r w:rsidRPr="00134AAC">
        <w:rPr>
          <w:rFonts w:ascii="Times New Roman" w:eastAsia="Times New Roman" w:hAnsi="Times New Roman" w:cs="Times New Roman"/>
          <w:color w:val="000000"/>
          <w:sz w:val="24"/>
          <w:szCs w:val="24"/>
          <w:vertAlign w:val="superscript"/>
        </w:rPr>
        <w:t>1</w:t>
      </w:r>
      <w:r w:rsidR="00F90866"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Um estudo recente revela que aproximadamente três quartos do consumo de ATM ocorrem na comunidade, onde os profissionais de Atenção Primária à Saúde (APS) desempenham um papel fundamental nas prescrições</w:t>
      </w:r>
      <w:r w:rsidRPr="00134AAC">
        <w:rPr>
          <w:rFonts w:ascii="Times New Roman" w:eastAsia="Times New Roman" w:hAnsi="Times New Roman" w:cs="Times New Roman"/>
          <w:color w:val="000000"/>
          <w:sz w:val="24"/>
          <w:szCs w:val="24"/>
          <w:vertAlign w:val="superscript"/>
        </w:rPr>
        <w:t>2</w:t>
      </w:r>
      <w:r w:rsidR="00F90866" w:rsidRPr="00134AAC">
        <w:rPr>
          <w:rFonts w:ascii="Times New Roman" w:eastAsia="Times New Roman" w:hAnsi="Times New Roman" w:cs="Times New Roman"/>
          <w:color w:val="000000"/>
          <w:sz w:val="24"/>
          <w:szCs w:val="24"/>
        </w:rPr>
        <w:t>.</w:t>
      </w:r>
    </w:p>
    <w:p w14:paraId="58A16DF1" w14:textId="07D4CDE3" w:rsidR="002E6145" w:rsidRPr="00134AAC" w:rsidRDefault="00B06470">
      <w:pPr>
        <w:spacing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Embora a Atenção Primária à Saúde (APS) seja fundamental para reduzir o uso de ATM, permitindo uma interação direta com os usuários e suas famílias, ainda existe uma lacuna no conhecimento sobre o impacto das estratégias de Prevenção e Controle de Infecção (PCI) e das Medidas de Gerenciamento de ATM no contexto brasileiro. </w:t>
      </w:r>
      <w:r w:rsidR="003F47D9" w:rsidRPr="00134AAC">
        <w:rPr>
          <w:rFonts w:ascii="Times New Roman" w:eastAsia="Times New Roman" w:hAnsi="Times New Roman" w:cs="Times New Roman"/>
          <w:color w:val="000000"/>
          <w:sz w:val="24"/>
          <w:szCs w:val="24"/>
        </w:rPr>
        <w:t xml:space="preserve">O presente </w:t>
      </w:r>
      <w:r w:rsidRPr="00134AAC">
        <w:rPr>
          <w:rFonts w:ascii="Times New Roman" w:eastAsia="Times New Roman" w:hAnsi="Times New Roman" w:cs="Times New Roman"/>
          <w:color w:val="000000"/>
          <w:sz w:val="24"/>
          <w:szCs w:val="24"/>
        </w:rPr>
        <w:t>estudo busca preencher essa lacuna ao propor a construção de uma ferramenta capaz de mensurar ações e estratégias de gerenciamento de ATM na APS. Neste estudo, objetivou-se desenvolver e validar uma ferramenta precisa que avalie a tríade interacional entre PCI, ATM e APS.</w:t>
      </w:r>
    </w:p>
    <w:p w14:paraId="4403981C" w14:textId="77777777" w:rsidR="002E6145" w:rsidRPr="00134AAC" w:rsidRDefault="00B06470">
      <w:pPr>
        <w:pStyle w:val="Ttulo1"/>
        <w:jc w:val="both"/>
      </w:pPr>
      <w:bookmarkStart w:id="1" w:name="_heading=h.30j0zll" w:colFirst="0" w:colLast="0"/>
      <w:bookmarkEnd w:id="1"/>
      <w:r w:rsidRPr="00134AAC">
        <w:t xml:space="preserve">MÉTODO </w:t>
      </w:r>
    </w:p>
    <w:p w14:paraId="58EF30AE" w14:textId="77777777"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Durante os meses de fevereiro a abril de 2022, este estudo se dedicou à elaboração e validação de um questionário para profissionais da APS. O questionário abordou estratégias de PCI e medidas de gerenciamento de ATM, com a avaliação realizada por especialistas que analisaram a representatividade das áreas de conteúdo e a relevância dos objetivos.</w:t>
      </w:r>
    </w:p>
    <w:p w14:paraId="6B2B5A20" w14:textId="38D14BB8" w:rsidR="002E6145" w:rsidRPr="00134AAC" w:rsidRDefault="003F47D9">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Sendo assim</w:t>
      </w:r>
      <w:r w:rsidR="00B06470" w:rsidRPr="00134AAC">
        <w:rPr>
          <w:rFonts w:ascii="Times New Roman" w:eastAsia="Times New Roman" w:hAnsi="Times New Roman" w:cs="Times New Roman"/>
          <w:color w:val="000000"/>
          <w:sz w:val="24"/>
          <w:szCs w:val="24"/>
        </w:rPr>
        <w:t xml:space="preserve">, foram empregados questionários com escalas consolidadas para coletar dados de pesquisas na área da saúde, proporcionando </w:t>
      </w:r>
      <w:r w:rsidR="00B06470" w:rsidRPr="00134AAC">
        <w:rPr>
          <w:rFonts w:ascii="Times New Roman" w:eastAsia="Times New Roman" w:hAnsi="Times New Roman" w:cs="Times New Roman"/>
          <w:i/>
          <w:color w:val="000000"/>
          <w:sz w:val="24"/>
          <w:szCs w:val="24"/>
        </w:rPr>
        <w:t xml:space="preserve">insights </w:t>
      </w:r>
      <w:r w:rsidR="00B06470" w:rsidRPr="00134AAC">
        <w:rPr>
          <w:rFonts w:ascii="Times New Roman" w:eastAsia="Times New Roman" w:hAnsi="Times New Roman" w:cs="Times New Roman"/>
          <w:color w:val="000000"/>
          <w:sz w:val="24"/>
          <w:szCs w:val="24"/>
        </w:rPr>
        <w:t xml:space="preserve">valiosos sobre a prática clínica e prescritiva de ATM. Isso contribuiu para o aprimoramento das estratégias de manejo e controle do uso desses medicamentos. O processo de desenvolvimento e validação do questionário consistiu em cinco etapas distintas, a saber: Etapa 1 - Revisão da Literatura; Etapa 2 - Desenvolvimento das perguntas; Etapa 3 - Validação dos Especialistas; Etapa 4 - Finalização do Questionário; Etapa 5 - Disseminação do </w:t>
      </w:r>
      <w:r w:rsidR="00B06470" w:rsidRPr="00134AAC">
        <w:rPr>
          <w:rFonts w:ascii="Times New Roman" w:eastAsia="Times New Roman" w:hAnsi="Times New Roman" w:cs="Times New Roman"/>
          <w:color w:val="000000"/>
          <w:sz w:val="24"/>
          <w:szCs w:val="24"/>
        </w:rPr>
        <w:lastRenderedPageBreak/>
        <w:t>questionário. As etapas para o desenvolvimento e validação do questionário são detalhadas no fluxograma abaixo.</w:t>
      </w:r>
    </w:p>
    <w:p w14:paraId="792D726F" w14:textId="77777777" w:rsidR="002E6145" w:rsidRPr="00134AAC" w:rsidRDefault="00B06470">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b/>
          <w:color w:val="000000"/>
          <w:sz w:val="20"/>
          <w:szCs w:val="20"/>
        </w:rPr>
        <w:t>Figura 1.</w:t>
      </w:r>
      <w:r w:rsidRPr="00134AAC">
        <w:rPr>
          <w:rFonts w:ascii="Times New Roman" w:eastAsia="Times New Roman" w:hAnsi="Times New Roman" w:cs="Times New Roman"/>
          <w:color w:val="000000"/>
          <w:sz w:val="20"/>
          <w:szCs w:val="20"/>
        </w:rPr>
        <w:t xml:space="preserve"> Etapas para o desenvolvimento e validação do questionário.</w:t>
      </w:r>
    </w:p>
    <w:p w14:paraId="5F8C136B" w14:textId="77777777" w:rsidR="002E6145" w:rsidRPr="00134AAC" w:rsidRDefault="00000000">
      <w:pPr>
        <w:spacing w:after="0" w:line="360" w:lineRule="auto"/>
        <w:jc w:val="both"/>
        <w:rPr>
          <w:rFonts w:ascii="Times New Roman" w:eastAsia="Times New Roman" w:hAnsi="Times New Roman" w:cs="Times New Roman"/>
          <w:sz w:val="20"/>
          <w:szCs w:val="20"/>
        </w:rPr>
      </w:pPr>
      <w:sdt>
        <w:sdtPr>
          <w:tag w:val="goog_rdk_0"/>
          <w:id w:val="-1660921821"/>
        </w:sdtPr>
        <w:sdtContent/>
      </w:sdt>
      <w:r w:rsidR="00B06470" w:rsidRPr="00134AAC">
        <w:rPr>
          <w:rFonts w:ascii="Times New Roman" w:eastAsia="Times New Roman" w:hAnsi="Times New Roman" w:cs="Times New Roman"/>
          <w:noProof/>
          <w:sz w:val="20"/>
          <w:szCs w:val="20"/>
        </w:rPr>
        <w:drawing>
          <wp:inline distT="114300" distB="114300" distL="114300" distR="114300" wp14:anchorId="228E8B08" wp14:editId="51786E39">
            <wp:extent cx="5399730" cy="5003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9730" cy="5003800"/>
                    </a:xfrm>
                    <a:prstGeom prst="rect">
                      <a:avLst/>
                    </a:prstGeom>
                    <a:ln/>
                  </pic:spPr>
                </pic:pic>
              </a:graphicData>
            </a:graphic>
          </wp:inline>
        </w:drawing>
      </w:r>
    </w:p>
    <w:p w14:paraId="1BD1DCE5" w14:textId="77777777" w:rsidR="002E6145" w:rsidRPr="00134AAC" w:rsidRDefault="00B06470">
      <w:pPr>
        <w:spacing w:after="0" w:line="36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Fonte: elaborada pelos autores, 2024.</w:t>
      </w:r>
    </w:p>
    <w:p w14:paraId="5D13FBAE" w14:textId="369CD13D"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A validação de conteúdo é fundamental na validação de instrumentos psicométricos, garantindo a precisão dos itens em medir o construto proposto, bem como sua relevância e representatividade para a população-alvo e</w:t>
      </w:r>
      <w:r w:rsidR="003F47D9" w:rsidRPr="00134AAC">
        <w:rPr>
          <w:rFonts w:ascii="Times New Roman" w:eastAsia="Times New Roman" w:hAnsi="Times New Roman" w:cs="Times New Roman"/>
          <w:color w:val="000000"/>
          <w:sz w:val="24"/>
          <w:szCs w:val="24"/>
        </w:rPr>
        <w:t xml:space="preserve"> para o</w:t>
      </w:r>
      <w:r w:rsidRPr="00134AAC">
        <w:rPr>
          <w:rFonts w:ascii="Times New Roman" w:eastAsia="Times New Roman" w:hAnsi="Times New Roman" w:cs="Times New Roman"/>
          <w:color w:val="000000"/>
          <w:sz w:val="24"/>
          <w:szCs w:val="24"/>
        </w:rPr>
        <w:t xml:space="preserve"> contexto específico</w:t>
      </w:r>
      <w:r w:rsidR="003F47D9"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w:t>
      </w:r>
      <w:r w:rsidR="003F47D9" w:rsidRPr="00134AAC">
        <w:rPr>
          <w:rFonts w:ascii="Times New Roman" w:eastAsia="Times New Roman" w:hAnsi="Times New Roman" w:cs="Times New Roman"/>
          <w:color w:val="000000"/>
          <w:sz w:val="24"/>
          <w:szCs w:val="24"/>
        </w:rPr>
        <w:t>Nesse sentido</w:t>
      </w:r>
      <w:r w:rsidRPr="00134AAC">
        <w:rPr>
          <w:rFonts w:ascii="Times New Roman" w:eastAsia="Times New Roman" w:hAnsi="Times New Roman" w:cs="Times New Roman"/>
          <w:color w:val="000000"/>
          <w:sz w:val="24"/>
          <w:szCs w:val="24"/>
        </w:rPr>
        <w:t>, Pasquali destaca métodos e critérios para a validação, enfatizando a participação de especialistas na avaliação da clareza, pertinência e abrangência dos itens</w:t>
      </w:r>
      <w:r w:rsidRPr="00134AAC">
        <w:rPr>
          <w:rFonts w:ascii="Times New Roman" w:eastAsia="Times New Roman" w:hAnsi="Times New Roman" w:cs="Times New Roman"/>
          <w:color w:val="000000"/>
          <w:sz w:val="24"/>
          <w:szCs w:val="24"/>
          <w:vertAlign w:val="superscript"/>
        </w:rPr>
        <w:t>3</w:t>
      </w:r>
      <w:r w:rsidR="003F47D9" w:rsidRPr="00134AAC">
        <w:rPr>
          <w:rFonts w:ascii="Times New Roman" w:eastAsia="Times New Roman" w:hAnsi="Times New Roman" w:cs="Times New Roman"/>
          <w:color w:val="000000"/>
          <w:sz w:val="24"/>
          <w:szCs w:val="24"/>
        </w:rPr>
        <w:t>.</w:t>
      </w:r>
    </w:p>
    <w:p w14:paraId="62AB2EC8" w14:textId="2B94459F"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Sob </w:t>
      </w:r>
      <w:r w:rsidR="003F47D9" w:rsidRPr="00134AAC">
        <w:rPr>
          <w:rFonts w:ascii="Times New Roman" w:eastAsia="Times New Roman" w:hAnsi="Times New Roman" w:cs="Times New Roman"/>
          <w:color w:val="000000"/>
          <w:sz w:val="24"/>
          <w:szCs w:val="24"/>
        </w:rPr>
        <w:t>tal</w:t>
      </w:r>
      <w:r w:rsidRPr="00134AAC">
        <w:rPr>
          <w:rFonts w:ascii="Times New Roman" w:eastAsia="Times New Roman" w:hAnsi="Times New Roman" w:cs="Times New Roman"/>
          <w:color w:val="000000"/>
          <w:sz w:val="24"/>
          <w:szCs w:val="24"/>
        </w:rPr>
        <w:t xml:space="preserve"> metodologia teórica, adotou-se um método de conveniência para selecionar os especialistas, considerando critérios como experiência profissional e envolvimento com as Coordenações Estaduais e o Ministério da Saúde. A comunicação inicial ocorreu por meio de uma carta-convite por e-mail, detalhando os aspectos do </w:t>
      </w:r>
      <w:r w:rsidRPr="00134AAC">
        <w:rPr>
          <w:rFonts w:ascii="Times New Roman" w:eastAsia="Times New Roman" w:hAnsi="Times New Roman" w:cs="Times New Roman"/>
          <w:color w:val="000000"/>
          <w:sz w:val="24"/>
          <w:szCs w:val="24"/>
        </w:rPr>
        <w:lastRenderedPageBreak/>
        <w:t xml:space="preserve">estudo. No total, 31 especialistas foram contatados, </w:t>
      </w:r>
      <w:r w:rsidR="003F47D9" w:rsidRPr="00134AAC">
        <w:rPr>
          <w:rFonts w:ascii="Times New Roman" w:eastAsia="Times New Roman" w:hAnsi="Times New Roman" w:cs="Times New Roman"/>
          <w:color w:val="000000"/>
          <w:sz w:val="24"/>
          <w:szCs w:val="24"/>
        </w:rPr>
        <w:t>sendo que</w:t>
      </w:r>
      <w:r w:rsidRPr="00134AAC">
        <w:rPr>
          <w:rFonts w:ascii="Times New Roman" w:eastAsia="Times New Roman" w:hAnsi="Times New Roman" w:cs="Times New Roman"/>
          <w:color w:val="000000"/>
          <w:sz w:val="24"/>
          <w:szCs w:val="24"/>
        </w:rPr>
        <w:t xml:space="preserve"> aqueles que não responderam dentro de 7 dias foram excluídos do processo de avaliação. Os especialistas que responderam foram direcionados a participar da validação por meio de um formulário virtual. Des</w:t>
      </w:r>
      <w:r w:rsidR="003F47D9" w:rsidRPr="00134AAC">
        <w:rPr>
          <w:rFonts w:ascii="Times New Roman" w:eastAsia="Times New Roman" w:hAnsi="Times New Roman" w:cs="Times New Roman"/>
          <w:color w:val="000000"/>
          <w:sz w:val="24"/>
          <w:szCs w:val="24"/>
        </w:rPr>
        <w:t>s</w:t>
      </w:r>
      <w:r w:rsidRPr="00134AAC">
        <w:rPr>
          <w:rFonts w:ascii="Times New Roman" w:eastAsia="Times New Roman" w:hAnsi="Times New Roman" w:cs="Times New Roman"/>
          <w:color w:val="000000"/>
          <w:sz w:val="24"/>
          <w:szCs w:val="24"/>
        </w:rPr>
        <w:t>a forma, 15 especialistas contribuíram ativamente para a validação da ferramenta.</w:t>
      </w:r>
    </w:p>
    <w:p w14:paraId="5C2E9010" w14:textId="2AFC7461"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Com o intuito de facilitar a avaliação das questões pelos especialistas, foram incluídos espaços adjacentes a cada item para que pudessem registrar suas avaliações, além de áreas específicas destinadas à inserção de comentários e sugestões, garantindo um </w:t>
      </w:r>
      <w:r w:rsidRPr="00134AAC">
        <w:rPr>
          <w:rFonts w:ascii="Times New Roman" w:eastAsia="Times New Roman" w:hAnsi="Times New Roman" w:cs="Times New Roman"/>
          <w:i/>
          <w:color w:val="000000"/>
          <w:sz w:val="24"/>
          <w:szCs w:val="24"/>
        </w:rPr>
        <w:t xml:space="preserve">feedback </w:t>
      </w:r>
      <w:r w:rsidRPr="00134AAC">
        <w:rPr>
          <w:rFonts w:ascii="Times New Roman" w:eastAsia="Times New Roman" w:hAnsi="Times New Roman" w:cs="Times New Roman"/>
          <w:color w:val="000000"/>
          <w:sz w:val="24"/>
          <w:szCs w:val="24"/>
        </w:rPr>
        <w:t xml:space="preserve">abrangente. Os especialistas analisaram os instrumentos de forma isolada e contextual, considerando critérios como vocabulário e sequência instrucional dos domínios. Foi atribuída a eles a responsabilidade de determinar se cada domínio estava adequado, inadequado ou </w:t>
      </w:r>
      <w:r w:rsidR="003F47D9" w:rsidRPr="00134AAC">
        <w:rPr>
          <w:rFonts w:ascii="Times New Roman" w:eastAsia="Times New Roman" w:hAnsi="Times New Roman" w:cs="Times New Roman"/>
          <w:color w:val="000000"/>
          <w:sz w:val="24"/>
          <w:szCs w:val="24"/>
        </w:rPr>
        <w:t xml:space="preserve">se </w:t>
      </w:r>
      <w:r w:rsidRPr="00134AAC">
        <w:rPr>
          <w:rFonts w:ascii="Times New Roman" w:eastAsia="Times New Roman" w:hAnsi="Times New Roman" w:cs="Times New Roman"/>
          <w:color w:val="000000"/>
          <w:sz w:val="24"/>
          <w:szCs w:val="24"/>
        </w:rPr>
        <w:t>necessitava de alterações.</w:t>
      </w:r>
    </w:p>
    <w:p w14:paraId="015994C0" w14:textId="12F2E672"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O Índice de Validade de Conteúdo (IVC) foi calculado para avaliar a concordância dos especialistas quanto à representatividade dos itens em relação ao conteúdo estudado. De acordo com Coluci et al.</w:t>
      </w:r>
      <w:r w:rsidRPr="00134AAC">
        <w:rPr>
          <w:rFonts w:ascii="Times New Roman" w:eastAsia="Times New Roman" w:hAnsi="Times New Roman" w:cs="Times New Roman"/>
          <w:color w:val="000000"/>
          <w:sz w:val="24"/>
          <w:szCs w:val="24"/>
          <w:vertAlign w:val="superscript"/>
        </w:rPr>
        <w:t>4</w:t>
      </w:r>
      <w:r w:rsidR="003F47D9"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o cálculo d</w:t>
      </w:r>
      <w:r w:rsidR="003F47D9" w:rsidRPr="00134AAC">
        <w:rPr>
          <w:rFonts w:ascii="Times New Roman" w:eastAsia="Times New Roman" w:hAnsi="Times New Roman" w:cs="Times New Roman"/>
          <w:color w:val="000000"/>
          <w:sz w:val="24"/>
          <w:szCs w:val="24"/>
        </w:rPr>
        <w:t>o</w:t>
      </w:r>
      <w:r w:rsidRPr="00134AAC">
        <w:rPr>
          <w:rFonts w:ascii="Times New Roman" w:eastAsia="Times New Roman" w:hAnsi="Times New Roman" w:cs="Times New Roman"/>
          <w:color w:val="000000"/>
          <w:sz w:val="24"/>
          <w:szCs w:val="24"/>
        </w:rPr>
        <w:t xml:space="preserve"> índice é realizado pela seguinte fórmula:</w:t>
      </w:r>
    </w:p>
    <w:p w14:paraId="64AC428B" w14:textId="0B7F7191"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4"/>
          <w:szCs w:val="24"/>
        </w:rPr>
        <w:t>IVC =</w:t>
      </w:r>
      <w:r w:rsidRPr="00134AAC">
        <w:rPr>
          <w:rFonts w:ascii="Times New Roman" w:eastAsia="Times New Roman" w:hAnsi="Times New Roman" w:cs="Times New Roman"/>
          <w:color w:val="000000"/>
          <w:sz w:val="20"/>
          <w:szCs w:val="20"/>
        </w:rPr>
        <w:t xml:space="preserve"> </w:t>
      </w:r>
      <w:r w:rsidRPr="00134AAC">
        <w:rPr>
          <w:rFonts w:ascii="Times New Roman" w:eastAsia="Times New Roman" w:hAnsi="Times New Roman" w:cs="Times New Roman"/>
          <w:color w:val="000000"/>
          <w:sz w:val="20"/>
          <w:szCs w:val="20"/>
          <w:u w:val="single"/>
        </w:rPr>
        <w:t>N° de especialistas que avaliaram o item como adequado com alterações ou adequado</w:t>
      </w:r>
      <w:r w:rsidRPr="00134AAC">
        <w:rPr>
          <w:rFonts w:ascii="Times New Roman" w:eastAsia="Times New Roman" w:hAnsi="Times New Roman" w:cs="Times New Roman"/>
          <w:color w:val="000000"/>
          <w:sz w:val="20"/>
          <w:szCs w:val="20"/>
        </w:rPr>
        <w:t xml:space="preserve">                        Total de Especialistas</w:t>
      </w:r>
    </w:p>
    <w:p w14:paraId="3F81C290"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color w:val="000000"/>
          <w:sz w:val="20"/>
          <w:szCs w:val="20"/>
        </w:rPr>
      </w:pPr>
    </w:p>
    <w:p w14:paraId="7011DB1D" w14:textId="33348C76"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No presente estudo, apenas os itens considerados adequados pelos especialistas foram utilizados para o cálculo do Índice de Validade de Conteúdo (IVC). Para determinar a média geral do IVC do instrumento, somaram-se todos os IVCs calculados individualmente e dividiram-se pelo número total de itens. Foi estabelecido como aceitável um índice mínimo de 0,75 tanto para a avaliação de cada item quanto para a avaliação geral do instrumento</w:t>
      </w:r>
      <w:r w:rsidRPr="00134AAC">
        <w:rPr>
          <w:rFonts w:ascii="Times New Roman" w:eastAsia="Times New Roman" w:hAnsi="Times New Roman" w:cs="Times New Roman"/>
          <w:color w:val="000000"/>
          <w:sz w:val="24"/>
          <w:szCs w:val="24"/>
          <w:vertAlign w:val="superscript"/>
        </w:rPr>
        <w:t>5</w:t>
      </w:r>
      <w:r w:rsidR="003F47D9"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vertAlign w:val="superscript"/>
        </w:rPr>
        <w:t xml:space="preserve">                          </w:t>
      </w:r>
    </w:p>
    <w:p w14:paraId="780FC857"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De acordo com as normas contidas na Resolução nº 466/2012, este projeto de pesquisa foi submetido e aprovado pelo Comitê de Ética em Pesquisa em 17 de março de 2022, sob Certificado de Apresentação e Apreciação Ética nº 5.413.514. O parecer favorável do Comitê de Ética em Pesquisa foi obtido mediante o parecer nº CAAE: 57866222.3.1001.5343.</w:t>
      </w:r>
    </w:p>
    <w:p w14:paraId="1085A586" w14:textId="77777777" w:rsidR="002E6145" w:rsidRPr="00134AAC" w:rsidRDefault="00B06470">
      <w:pPr>
        <w:pStyle w:val="Ttulo1"/>
        <w:pBdr>
          <w:top w:val="none" w:sz="0" w:space="0" w:color="E3E3E3"/>
          <w:left w:val="none" w:sz="0" w:space="0" w:color="E3E3E3"/>
          <w:bottom w:val="none" w:sz="0" w:space="0" w:color="E3E3E3"/>
          <w:right w:val="none" w:sz="0" w:space="0" w:color="E3E3E3"/>
          <w:between w:val="none" w:sz="0" w:space="0" w:color="E3E3E3"/>
        </w:pBdr>
        <w:spacing w:before="300" w:after="300"/>
      </w:pPr>
      <w:bookmarkStart w:id="2" w:name="_heading=h.1fob9te" w:colFirst="0" w:colLast="0"/>
      <w:bookmarkEnd w:id="2"/>
      <w:r w:rsidRPr="00134AAC">
        <w:lastRenderedPageBreak/>
        <w:t>RESULTADOS</w:t>
      </w:r>
    </w:p>
    <w:p w14:paraId="722BB927" w14:textId="77777777" w:rsidR="002E6145" w:rsidRPr="00134AAC" w:rsidRDefault="00B06470">
      <w:pPr>
        <w:pStyle w:val="Ttulo2"/>
        <w:ind w:firstLine="851"/>
        <w:rPr>
          <w:color w:val="000000"/>
        </w:rPr>
      </w:pPr>
      <w:bookmarkStart w:id="3" w:name="_heading=h.3znysh7" w:colFirst="0" w:colLast="0"/>
      <w:bookmarkEnd w:id="3"/>
      <w:r w:rsidRPr="00134AAC">
        <w:rPr>
          <w:color w:val="000000"/>
        </w:rPr>
        <w:t>Este estudo foi conduzido em cinco etapas metodológicas principais, cada uma desempenhando um papel crucial na construção e validação da ferramenta de avaliação da interação entre PCI, ATM e APS.</w:t>
      </w:r>
    </w:p>
    <w:p w14:paraId="126B0535" w14:textId="6F97963C" w:rsidR="002E6145" w:rsidRPr="00134AAC" w:rsidRDefault="00B06470">
      <w:pPr>
        <w:pStyle w:val="Ttulo2"/>
        <w:ind w:firstLine="851"/>
        <w:rPr>
          <w:color w:val="000000"/>
        </w:rPr>
      </w:pPr>
      <w:bookmarkStart w:id="4" w:name="_heading=h.2et92p0" w:colFirst="0" w:colLast="0"/>
      <w:bookmarkEnd w:id="4"/>
      <w:r w:rsidRPr="00134AAC">
        <w:rPr>
          <w:color w:val="000000"/>
        </w:rPr>
        <w:t xml:space="preserve">Etapa 1 - </w:t>
      </w:r>
      <w:r w:rsidR="00265483" w:rsidRPr="00134AAC">
        <w:rPr>
          <w:color w:val="000000"/>
        </w:rPr>
        <w:t>r</w:t>
      </w:r>
      <w:r w:rsidRPr="00134AAC">
        <w:rPr>
          <w:color w:val="000000"/>
        </w:rPr>
        <w:t xml:space="preserve">evisão da Literatura: </w:t>
      </w:r>
      <w:r w:rsidR="00265483" w:rsidRPr="00134AAC">
        <w:rPr>
          <w:color w:val="000000"/>
        </w:rPr>
        <w:t>a</w:t>
      </w:r>
      <w:r w:rsidRPr="00134AAC">
        <w:rPr>
          <w:color w:val="000000"/>
        </w:rPr>
        <w:t xml:space="preserve"> revisão foi conduzida por meio do acesso às bases de dados LILACS (Literatura Latino-Americana e do Caribe em Ciências da Saúde) e SciELO (</w:t>
      </w:r>
      <w:r w:rsidRPr="00134AAC">
        <w:rPr>
          <w:i/>
          <w:color w:val="000000"/>
        </w:rPr>
        <w:t>Scientific Electronic Library Online</w:t>
      </w:r>
      <w:r w:rsidRPr="00134AAC">
        <w:rPr>
          <w:color w:val="000000"/>
        </w:rPr>
        <w:t>). Os descritores em ciência da saúde em português, ou os termos correspondentes em língua espanhola ou inglesa utilizados na busca foram: questionário; controle de infecções; gestão de antimicrobianos; atenção primária à saúde. Foi constatado que não havia estudos prévios que abordassem simultaneamente os temas de PCI e gerenciamento de ATM na APS brasileira. O questionário foi segmentado e organizado em "domínios" (D), ou seja, conjuntos de questões que abordavam um mesmo aspecto. As variáveis de múltipla escolha foram estruturadas como variáveis dicotômicas.</w:t>
      </w:r>
    </w:p>
    <w:p w14:paraId="2EB3756E" w14:textId="429D73CC" w:rsidR="002E6145" w:rsidRPr="00134AAC" w:rsidRDefault="00B06470">
      <w:pPr>
        <w:pStyle w:val="Ttulo2"/>
        <w:ind w:firstLine="851"/>
        <w:rPr>
          <w:color w:val="000000"/>
        </w:rPr>
      </w:pPr>
      <w:bookmarkStart w:id="5" w:name="_heading=h.tyjcwt" w:colFirst="0" w:colLast="0"/>
      <w:bookmarkEnd w:id="5"/>
      <w:r w:rsidRPr="00134AAC">
        <w:rPr>
          <w:color w:val="000000"/>
        </w:rPr>
        <w:t xml:space="preserve">Etapa 2 - </w:t>
      </w:r>
      <w:r w:rsidR="00265483" w:rsidRPr="00134AAC">
        <w:rPr>
          <w:color w:val="000000"/>
        </w:rPr>
        <w:t>d</w:t>
      </w:r>
      <w:r w:rsidRPr="00134AAC">
        <w:rPr>
          <w:color w:val="000000"/>
        </w:rPr>
        <w:t>esenvolvimento das perguntas: visto a dificuldade de encontrar literatura sobre os temas, optou-se por utilizar como norteadores os textos do Programa Nacional de Prevenção e Controle de Infecções Relacionadas à Assistência à Saúde (PNPCIRAS 2021- 2025)</w:t>
      </w:r>
      <w:r w:rsidRPr="00134AAC">
        <w:rPr>
          <w:color w:val="000000"/>
          <w:vertAlign w:val="superscript"/>
        </w:rPr>
        <w:t xml:space="preserve"> </w:t>
      </w:r>
      <w:r w:rsidRPr="00134AAC">
        <w:rPr>
          <w:color w:val="000000"/>
        </w:rPr>
        <w:t>da Agência Nacional de Vigilância Sanitária (ANVISA) e o  Plano de Ação Nacional para Controle de Resistência aos Antimicrobianos no Âmbito da Saúde Única 2018 (PAN-BR)</w:t>
      </w:r>
      <w:r w:rsidR="00DE621D" w:rsidRPr="00134AAC">
        <w:rPr>
          <w:color w:val="000000"/>
          <w:vertAlign w:val="superscript"/>
        </w:rPr>
        <w:t xml:space="preserve">6, </w:t>
      </w:r>
      <w:r w:rsidRPr="00134AAC">
        <w:rPr>
          <w:color w:val="000000"/>
          <w:vertAlign w:val="superscript"/>
        </w:rPr>
        <w:t>7</w:t>
      </w:r>
      <w:r w:rsidR="00265483" w:rsidRPr="00134AAC">
        <w:rPr>
          <w:color w:val="000000"/>
        </w:rPr>
        <w:t>.</w:t>
      </w:r>
    </w:p>
    <w:p w14:paraId="35ACD920" w14:textId="4168881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Assim, os dois primeiros domínios do questionário "D" foram projetados para abranger os seguintes domínios, respectivamente: </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D1) </w:t>
      </w:r>
      <w:r w:rsidR="00265483" w:rsidRPr="00134AAC">
        <w:rPr>
          <w:rFonts w:ascii="Times New Roman" w:eastAsia="Times New Roman" w:hAnsi="Times New Roman" w:cs="Times New Roman"/>
          <w:color w:val="000000"/>
          <w:sz w:val="24"/>
          <w:szCs w:val="24"/>
        </w:rPr>
        <w:t>p</w:t>
      </w:r>
      <w:r w:rsidRPr="00134AAC">
        <w:rPr>
          <w:rFonts w:ascii="Times New Roman" w:eastAsia="Times New Roman" w:hAnsi="Times New Roman" w:cs="Times New Roman"/>
          <w:color w:val="000000"/>
          <w:sz w:val="24"/>
          <w:szCs w:val="24"/>
        </w:rPr>
        <w:t>erfil do serviço de saúde</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e </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D2) </w:t>
      </w:r>
      <w:r w:rsidR="00265483" w:rsidRPr="00134AAC">
        <w:rPr>
          <w:rFonts w:ascii="Times New Roman" w:eastAsia="Times New Roman" w:hAnsi="Times New Roman" w:cs="Times New Roman"/>
          <w:color w:val="000000"/>
          <w:sz w:val="24"/>
          <w:szCs w:val="24"/>
        </w:rPr>
        <w:t>p</w:t>
      </w:r>
      <w:r w:rsidRPr="00134AAC">
        <w:rPr>
          <w:rFonts w:ascii="Times New Roman" w:eastAsia="Times New Roman" w:hAnsi="Times New Roman" w:cs="Times New Roman"/>
          <w:color w:val="000000"/>
          <w:sz w:val="24"/>
          <w:szCs w:val="24"/>
        </w:rPr>
        <w:t>erfil clínico-epidemiológico do serviço de saúde</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w:t>
      </w:r>
    </w:p>
    <w:p w14:paraId="43126423" w14:textId="5CC25CD1"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Para a elaboração das questões relacionadas às medidas de precaução contidas no domínio </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D3): </w:t>
      </w:r>
      <w:r w:rsidR="00265483" w:rsidRPr="00134AAC">
        <w:rPr>
          <w:rFonts w:ascii="Times New Roman" w:eastAsia="Times New Roman" w:hAnsi="Times New Roman" w:cs="Times New Roman"/>
          <w:color w:val="000000"/>
          <w:sz w:val="24"/>
          <w:szCs w:val="24"/>
        </w:rPr>
        <w:t>a</w:t>
      </w:r>
      <w:r w:rsidRPr="00134AAC">
        <w:rPr>
          <w:rFonts w:ascii="Times New Roman" w:eastAsia="Times New Roman" w:hAnsi="Times New Roman" w:cs="Times New Roman"/>
          <w:color w:val="000000"/>
          <w:sz w:val="24"/>
          <w:szCs w:val="24"/>
        </w:rPr>
        <w:t>ções relacionadas à prevenção e controle de infecções</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utilizamos como referência o estudo “O papel da Atenção Primária na prevenção de Infecções Relacionadas à Assistência à Saúde” realizado por Maria Clara Padoveze e Rosely Moralez de Figueiredo</w:t>
      </w:r>
      <w:r w:rsidRPr="00134AAC">
        <w:rPr>
          <w:rFonts w:ascii="Times New Roman" w:eastAsia="Times New Roman" w:hAnsi="Times New Roman" w:cs="Times New Roman"/>
          <w:color w:val="000000"/>
          <w:sz w:val="24"/>
          <w:szCs w:val="24"/>
          <w:vertAlign w:val="superscript"/>
        </w:rPr>
        <w:t>8</w:t>
      </w:r>
      <w:r w:rsidR="00265483"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No mesmo domínio, porém no subdomínio intitulado </w:t>
      </w:r>
      <w:r w:rsidRPr="00134AAC">
        <w:rPr>
          <w:rFonts w:ascii="Times New Roman" w:eastAsia="Times New Roman" w:hAnsi="Times New Roman" w:cs="Times New Roman"/>
          <w:color w:val="000000"/>
          <w:sz w:val="24"/>
          <w:szCs w:val="24"/>
        </w:rPr>
        <w:lastRenderedPageBreak/>
        <w:t>biossegurança e gerenciamento de resíduos, as questões foram fundamentadas a partir da RDC nº222, de 28 de fevereiro de 2018, que dispõe sobre Regulamento Técnico para o gerenciamento de resíduos de serviços de saúde.</w:t>
      </w:r>
    </w:p>
    <w:p w14:paraId="33985F71" w14:textId="74064932"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Referente ao</w:t>
      </w:r>
      <w:r w:rsidR="00863672" w:rsidRPr="00134AAC">
        <w:rPr>
          <w:rFonts w:ascii="Times New Roman" w:eastAsia="Times New Roman" w:hAnsi="Times New Roman" w:cs="Times New Roman"/>
          <w:color w:val="000000"/>
          <w:sz w:val="24"/>
          <w:szCs w:val="24"/>
        </w:rPr>
        <w:t>s</w:t>
      </w:r>
      <w:r w:rsidRPr="00134AAC">
        <w:rPr>
          <w:rFonts w:ascii="Times New Roman" w:eastAsia="Times New Roman" w:hAnsi="Times New Roman" w:cs="Times New Roman"/>
          <w:color w:val="000000"/>
          <w:sz w:val="24"/>
          <w:szCs w:val="24"/>
        </w:rPr>
        <w:t xml:space="preserve"> domínio</w:t>
      </w:r>
      <w:r w:rsidR="00863672" w:rsidRPr="00134AAC">
        <w:rPr>
          <w:rFonts w:ascii="Times New Roman" w:eastAsia="Times New Roman" w:hAnsi="Times New Roman" w:cs="Times New Roman"/>
          <w:color w:val="000000"/>
          <w:sz w:val="24"/>
          <w:szCs w:val="24"/>
        </w:rPr>
        <w:t>s</w:t>
      </w:r>
      <w:r w:rsidRPr="00134AAC">
        <w:rPr>
          <w:rFonts w:ascii="Times New Roman" w:eastAsia="Times New Roman" w:hAnsi="Times New Roman" w:cs="Times New Roman"/>
          <w:color w:val="000000"/>
          <w:sz w:val="24"/>
          <w:szCs w:val="24"/>
        </w:rPr>
        <w:t xml:space="preserve"> </w:t>
      </w:r>
      <w:r w:rsidR="00863672"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D4) Ações para o gerenciamento do uso de ATM</w:t>
      </w:r>
      <w:r w:rsidR="00863672"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w:t>
      </w:r>
      <w:r w:rsidR="00863672"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D5) Educação em saúde sobre as medidas de PCI</w:t>
      </w:r>
      <w:r w:rsidR="00863672"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w:t>
      </w:r>
      <w:r w:rsidR="00863672"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D6) Educação em saúde com enfoque no gerenciamento do uso de ATM</w:t>
      </w:r>
      <w:r w:rsidR="00863672"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utilizou-se como base, respectivamente: a Diretriz Nacional para Elaboração de Programa de Gerenciamento do Uso de Antimicrobianos em Serviços de Saúde, publicada pela Anvisa (2017)</w:t>
      </w:r>
      <w:r w:rsidRPr="00134AAC">
        <w:rPr>
          <w:rFonts w:ascii="Times New Roman" w:eastAsia="Times New Roman" w:hAnsi="Times New Roman" w:cs="Times New Roman"/>
          <w:color w:val="000000"/>
          <w:sz w:val="24"/>
          <w:szCs w:val="24"/>
          <w:vertAlign w:val="superscript"/>
        </w:rPr>
        <w:t>9</w:t>
      </w:r>
      <w:r w:rsidRPr="00134AAC">
        <w:rPr>
          <w:rFonts w:ascii="Times New Roman" w:eastAsia="Times New Roman" w:hAnsi="Times New Roman" w:cs="Times New Roman"/>
          <w:color w:val="000000"/>
          <w:sz w:val="24"/>
          <w:szCs w:val="24"/>
        </w:rPr>
        <w:t>, o (PAN-BR)</w:t>
      </w:r>
      <w:r w:rsidRPr="00134AAC">
        <w:rPr>
          <w:rFonts w:ascii="Times New Roman" w:eastAsia="Times New Roman" w:hAnsi="Times New Roman" w:cs="Times New Roman"/>
          <w:color w:val="000000"/>
          <w:sz w:val="24"/>
          <w:szCs w:val="24"/>
          <w:vertAlign w:val="superscript"/>
        </w:rPr>
        <w:t>6</w:t>
      </w:r>
      <w:r w:rsidRPr="00134AAC">
        <w:rPr>
          <w:rFonts w:ascii="Times New Roman" w:eastAsia="Times New Roman" w:hAnsi="Times New Roman" w:cs="Times New Roman"/>
          <w:color w:val="000000"/>
          <w:sz w:val="24"/>
          <w:szCs w:val="24"/>
        </w:rPr>
        <w:t xml:space="preserve"> e a Lista de Verificação dos Elementos Básicos para utilização de Antibióticos em Unidade Ambulatorial do </w:t>
      </w:r>
      <w:r w:rsidRPr="00134AAC">
        <w:rPr>
          <w:rFonts w:ascii="Times New Roman" w:eastAsia="Times New Roman" w:hAnsi="Times New Roman" w:cs="Times New Roman"/>
          <w:i/>
          <w:color w:val="000000"/>
          <w:sz w:val="24"/>
          <w:szCs w:val="24"/>
        </w:rPr>
        <w:t xml:space="preserve">Centers for Disease Control and Prevention </w:t>
      </w:r>
      <w:r w:rsidRPr="00134AAC">
        <w:rPr>
          <w:rFonts w:ascii="Times New Roman" w:eastAsia="Times New Roman" w:hAnsi="Times New Roman" w:cs="Times New Roman"/>
          <w:color w:val="000000"/>
          <w:sz w:val="24"/>
          <w:szCs w:val="24"/>
        </w:rPr>
        <w:t>(CDC, 2016)</w:t>
      </w:r>
      <w:r w:rsidRPr="00134AAC">
        <w:rPr>
          <w:rFonts w:ascii="Times New Roman" w:eastAsia="Times New Roman" w:hAnsi="Times New Roman" w:cs="Times New Roman"/>
          <w:color w:val="000000"/>
          <w:sz w:val="24"/>
          <w:szCs w:val="24"/>
          <w:vertAlign w:val="superscript"/>
        </w:rPr>
        <w:t>10</w:t>
      </w:r>
      <w:r w:rsidR="00863672" w:rsidRPr="00134AAC">
        <w:rPr>
          <w:rFonts w:ascii="Times New Roman" w:eastAsia="Times New Roman" w:hAnsi="Times New Roman" w:cs="Times New Roman"/>
          <w:color w:val="000000"/>
          <w:sz w:val="24"/>
          <w:szCs w:val="24"/>
        </w:rPr>
        <w:t>.</w:t>
      </w:r>
    </w:p>
    <w:p w14:paraId="77924BE3"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b/>
          <w:sz w:val="20"/>
          <w:szCs w:val="20"/>
        </w:rPr>
        <w:t>Tabela 1.</w:t>
      </w:r>
      <w:r w:rsidRPr="00134AAC">
        <w:rPr>
          <w:rFonts w:ascii="Times New Roman" w:eastAsia="Times New Roman" w:hAnsi="Times New Roman" w:cs="Times New Roman"/>
          <w:sz w:val="20"/>
          <w:szCs w:val="20"/>
        </w:rPr>
        <w:t xml:space="preserve"> Descrição dos domínios e as principais perguntas incluídas no questionário</w:t>
      </w:r>
    </w:p>
    <w:tbl>
      <w:tblPr>
        <w:tblStyle w:val="a7"/>
        <w:tblW w:w="8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5700"/>
      </w:tblGrid>
      <w:tr w:rsidR="002E6145" w:rsidRPr="00134AAC" w14:paraId="344496CC" w14:textId="77777777" w:rsidTr="00DE621D">
        <w:trPr>
          <w:trHeight w:val="215"/>
        </w:trPr>
        <w:tc>
          <w:tcPr>
            <w:tcW w:w="2790" w:type="dxa"/>
            <w:tcBorders>
              <w:left w:val="single" w:sz="8" w:space="0" w:color="FFFFFF"/>
              <w:right w:val="single" w:sz="8" w:space="0" w:color="FFFFFF"/>
            </w:tcBorders>
            <w:shd w:val="clear" w:color="auto" w:fill="auto"/>
            <w:tcMar>
              <w:top w:w="100" w:type="dxa"/>
              <w:left w:w="100" w:type="dxa"/>
              <w:bottom w:w="100" w:type="dxa"/>
              <w:right w:w="100" w:type="dxa"/>
            </w:tcMar>
          </w:tcPr>
          <w:p w14:paraId="42763B80" w14:textId="77777777" w:rsidR="002E6145" w:rsidRPr="00134AAC" w:rsidRDefault="00B06470">
            <w:pPr>
              <w:widowControl w:val="0"/>
              <w:spacing w:after="0" w:line="240" w:lineRule="auto"/>
              <w:jc w:val="center"/>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Domínio</w:t>
            </w:r>
          </w:p>
        </w:tc>
        <w:tc>
          <w:tcPr>
            <w:tcW w:w="5700" w:type="dxa"/>
            <w:tcBorders>
              <w:left w:val="single" w:sz="8" w:space="0" w:color="FFFFFF"/>
              <w:right w:val="single" w:sz="8" w:space="0" w:color="FFFFFF"/>
            </w:tcBorders>
            <w:shd w:val="clear" w:color="auto" w:fill="auto"/>
            <w:tcMar>
              <w:top w:w="100" w:type="dxa"/>
              <w:left w:w="100" w:type="dxa"/>
              <w:bottom w:w="100" w:type="dxa"/>
              <w:right w:w="100" w:type="dxa"/>
            </w:tcMar>
          </w:tcPr>
          <w:p w14:paraId="4CD5770A" w14:textId="77777777" w:rsidR="002E6145" w:rsidRPr="00134AAC" w:rsidRDefault="00B06470">
            <w:pPr>
              <w:widowControl w:val="0"/>
              <w:spacing w:after="0" w:line="240" w:lineRule="auto"/>
              <w:jc w:val="center"/>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Perguntas</w:t>
            </w:r>
          </w:p>
        </w:tc>
      </w:tr>
      <w:tr w:rsidR="002E6145" w:rsidRPr="00134AAC" w14:paraId="05853F00" w14:textId="77777777" w:rsidTr="00DE621D">
        <w:trPr>
          <w:trHeight w:val="215"/>
        </w:trPr>
        <w:tc>
          <w:tcPr>
            <w:tcW w:w="27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59D39F"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r w:rsidRPr="00134AAC">
              <w:rPr>
                <w:rFonts w:ascii="Times New Roman" w:eastAsia="Times New Roman" w:hAnsi="Times New Roman" w:cs="Times New Roman"/>
                <w:b/>
                <w:color w:val="000000"/>
                <w:sz w:val="20"/>
                <w:szCs w:val="20"/>
              </w:rPr>
              <w:t>D1) Perfil do serviço de saúde</w:t>
            </w:r>
          </w:p>
        </w:tc>
        <w:tc>
          <w:tcPr>
            <w:tcW w:w="57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18477C"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Média mensal de atendimentos; principais atendimentos; e número de profissionais de saúde atuantes.</w:t>
            </w:r>
          </w:p>
          <w:p w14:paraId="617B603F"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552848FF"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computadores; sistema informatizado; e acesso à rede.</w:t>
            </w:r>
          </w:p>
        </w:tc>
      </w:tr>
      <w:tr w:rsidR="002E6145" w:rsidRPr="00134AAC" w14:paraId="46D792CF" w14:textId="77777777" w:rsidTr="00DE621D">
        <w:trPr>
          <w:trHeight w:val="215"/>
        </w:trPr>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CE86BD"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r w:rsidRPr="00134AAC">
              <w:rPr>
                <w:rFonts w:ascii="Times New Roman" w:eastAsia="Times New Roman" w:hAnsi="Times New Roman" w:cs="Times New Roman"/>
                <w:b/>
                <w:color w:val="000000"/>
                <w:sz w:val="20"/>
                <w:szCs w:val="20"/>
              </w:rPr>
              <w:t>D2) Perfil clínico-epidemiológico do serviço de saúde</w:t>
            </w:r>
          </w:p>
        </w:tc>
        <w:tc>
          <w:tcPr>
            <w:tcW w:w="5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13F328"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Principais faixas etárias dos pacientes atendidos.</w:t>
            </w:r>
          </w:p>
          <w:p w14:paraId="6963E79F"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38B9B167"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Principais afecções patologias.</w:t>
            </w:r>
          </w:p>
        </w:tc>
      </w:tr>
      <w:tr w:rsidR="002E6145" w:rsidRPr="00134AAC" w14:paraId="1C23D59C" w14:textId="77777777" w:rsidTr="00DE621D">
        <w:trPr>
          <w:trHeight w:val="215"/>
        </w:trPr>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27F999"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339F39BA"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r w:rsidRPr="00134AAC">
              <w:rPr>
                <w:rFonts w:ascii="Times New Roman" w:eastAsia="Times New Roman" w:hAnsi="Times New Roman" w:cs="Times New Roman"/>
                <w:b/>
                <w:color w:val="000000"/>
                <w:sz w:val="20"/>
                <w:szCs w:val="20"/>
              </w:rPr>
              <w:t>D3) Ações relacionadas às medidas de PCI</w:t>
            </w:r>
          </w:p>
        </w:tc>
        <w:tc>
          <w:tcPr>
            <w:tcW w:w="5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76518F"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Medidas gerais de PCI; higienização de mãos; medidas de precauções; biossegurança e gerenciamento de resíduos; limpeza, desinfecção e esterilização de artigos (instrumental).</w:t>
            </w:r>
          </w:p>
        </w:tc>
      </w:tr>
      <w:tr w:rsidR="002E6145" w:rsidRPr="00134AAC" w14:paraId="7F33BBE6" w14:textId="77777777" w:rsidTr="00DE621D">
        <w:trPr>
          <w:trHeight w:val="215"/>
        </w:trPr>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C6827D"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r w:rsidRPr="00134AAC">
              <w:rPr>
                <w:rFonts w:ascii="Times New Roman" w:eastAsia="Times New Roman" w:hAnsi="Times New Roman" w:cs="Times New Roman"/>
                <w:b/>
                <w:color w:val="000000"/>
                <w:sz w:val="20"/>
                <w:szCs w:val="20"/>
              </w:rPr>
              <w:t>D4) Ações para o gerenciamento do uso de ATM</w:t>
            </w:r>
          </w:p>
        </w:tc>
        <w:tc>
          <w:tcPr>
            <w:tcW w:w="5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88AD75"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dispensação de ATM sem prescrição.</w:t>
            </w:r>
          </w:p>
          <w:p w14:paraId="5573363F"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3FF4F96F"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pressão por parte dos pacientes para a prescrição de ATM.</w:t>
            </w:r>
          </w:p>
          <w:p w14:paraId="3411FC67"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310CD688"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controle e dispensação de ATM por profissional responsável.</w:t>
            </w:r>
          </w:p>
          <w:p w14:paraId="548EF473"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0B44BFD7"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documento formal/protocolo para o diagnóstico e tratamento das principais infecções.</w:t>
            </w:r>
          </w:p>
          <w:p w14:paraId="67804956"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política/protocolo que obrigue os prescritores a registrarem: dose, duração e indicação do tratamento.</w:t>
            </w:r>
          </w:p>
          <w:p w14:paraId="3F8A44DB"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36804C84"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capacitação para adotar as medidas previstas nesses protocolos.</w:t>
            </w:r>
          </w:p>
          <w:p w14:paraId="73043E50"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04D78584"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de lista de padronização desses medicamentos de acordo com a Relação Nacional de Medicamentos (RENAME), Estadual (REM) ou Municipal (REMUME).</w:t>
            </w:r>
          </w:p>
          <w:p w14:paraId="5B29D592"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6EF319DA"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Existência prescricional de ATM guiada por exames laboratoriais, incluindo antibiograma, com interface com laboratório de análises clínicas/microbiológicas.</w:t>
            </w:r>
          </w:p>
        </w:tc>
      </w:tr>
      <w:tr w:rsidR="002E6145" w:rsidRPr="00134AAC" w14:paraId="209616D2" w14:textId="77777777" w:rsidTr="00DE621D">
        <w:trPr>
          <w:trHeight w:val="215"/>
        </w:trPr>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BC628F"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1C1DF978"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44F82B43"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7FA08BCB"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4D1FDE83"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5AA8137E"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7D00A2AF"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r w:rsidRPr="00134AAC">
              <w:rPr>
                <w:rFonts w:ascii="Times New Roman" w:eastAsia="Times New Roman" w:hAnsi="Times New Roman" w:cs="Times New Roman"/>
                <w:b/>
                <w:color w:val="000000"/>
                <w:sz w:val="20"/>
                <w:szCs w:val="20"/>
              </w:rPr>
              <w:t>D5) Educação em saúde sobre as medidas de prevenção e controle de infecções</w:t>
            </w:r>
          </w:p>
        </w:tc>
        <w:tc>
          <w:tcPr>
            <w:tcW w:w="5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6E1295"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Serviço de saúde possui ações de educação permanente sobre as medidas de PCI.</w:t>
            </w:r>
          </w:p>
          <w:p w14:paraId="45CB8D1C"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2CF140BE"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Por quais motivos o serviço de saúde não possui ações de educação permanente sobre as medidas de PCI.</w:t>
            </w:r>
          </w:p>
          <w:p w14:paraId="3E4D7D22"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3DC65F76"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As ações de educação permanente preveem treinamentos periódicos sobre as medidas de PCI para todos os profissionais.</w:t>
            </w:r>
          </w:p>
          <w:p w14:paraId="7E491119"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5421E71D"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Quais temas são abordados nas capacitações para que os profissionais sejam capazes de implementar medidas de PCI.</w:t>
            </w:r>
          </w:p>
          <w:p w14:paraId="33AC2744"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6E6B2C79"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Serviço de saúde promove ações destinadas aos pacientes, que incluem a distribuição de material impresso, como panfletos e cartilhas, contendo orientações sobre a importância das medidas de PCI.</w:t>
            </w:r>
          </w:p>
        </w:tc>
      </w:tr>
      <w:tr w:rsidR="002E6145" w:rsidRPr="00134AAC" w14:paraId="4EB3D699" w14:textId="77777777" w:rsidTr="00DE621D">
        <w:trPr>
          <w:trHeight w:val="215"/>
        </w:trPr>
        <w:tc>
          <w:tcPr>
            <w:tcW w:w="27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8F62951"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569BD6A6"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3386906C"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4C5F4B36"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7ED5377F"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54BEFE05"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3E23DB76"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p>
          <w:p w14:paraId="00A708F3"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center"/>
              <w:rPr>
                <w:rFonts w:ascii="Times New Roman" w:eastAsia="Times New Roman" w:hAnsi="Times New Roman" w:cs="Times New Roman"/>
                <w:b/>
                <w:color w:val="000000"/>
                <w:sz w:val="20"/>
                <w:szCs w:val="20"/>
              </w:rPr>
            </w:pPr>
            <w:r w:rsidRPr="00134AAC">
              <w:rPr>
                <w:rFonts w:ascii="Times New Roman" w:eastAsia="Times New Roman" w:hAnsi="Times New Roman" w:cs="Times New Roman"/>
                <w:b/>
                <w:color w:val="000000"/>
                <w:sz w:val="20"/>
                <w:szCs w:val="20"/>
              </w:rPr>
              <w:t>D6) Educação em saúde com enfoque no gerenciamento do uso de ATM</w:t>
            </w:r>
          </w:p>
        </w:tc>
        <w:tc>
          <w:tcPr>
            <w:tcW w:w="57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30F05E8"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Realização de ações de educação permanente para seus profissionais visando melhorar a conscientização sobre o uso de ATM: periodicidade e temas abordados nos treinamentos.</w:t>
            </w:r>
          </w:p>
          <w:p w14:paraId="12624E88"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606B6DB1"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Temas de capacitações que os profissionais de saúde precisam conhecer e dominar para implementar medidas de gerenciamento de antimicrobianos.</w:t>
            </w:r>
          </w:p>
          <w:p w14:paraId="145BFCED" w14:textId="77777777" w:rsidR="002E6145" w:rsidRPr="00134AAC" w:rsidRDefault="002E614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p>
          <w:p w14:paraId="2802D52F"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xml:space="preserve">- Orientações ao paciente sobre o uso de ATM: forma pela qual as orientações sobre ATM são repassadas aos pacientes, incluindo estratégias para melhorar a compreensão do paciente. </w:t>
            </w:r>
          </w:p>
          <w:p w14:paraId="0FB931B0"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Times New Roman" w:eastAsia="Times New Roman" w:hAnsi="Times New Roman" w:cs="Times New Roman"/>
                <w:color w:val="000000"/>
                <w:sz w:val="20"/>
                <w:szCs w:val="20"/>
              </w:rPr>
            </w:pPr>
            <w:r w:rsidRPr="00134AAC">
              <w:rPr>
                <w:rFonts w:ascii="Times New Roman" w:eastAsia="Times New Roman" w:hAnsi="Times New Roman" w:cs="Times New Roman"/>
                <w:color w:val="000000"/>
                <w:sz w:val="20"/>
                <w:szCs w:val="20"/>
              </w:rPr>
              <w:t>- Distribuição de material impresso (panfletos, cartilhas, etc.) contendo orientações sobre o uso correto e racional dos ATM.</w:t>
            </w:r>
          </w:p>
        </w:tc>
      </w:tr>
    </w:tbl>
    <w:p w14:paraId="643C851F" w14:textId="77777777" w:rsidR="002E6145" w:rsidRPr="00134AAC" w:rsidRDefault="00B06470">
      <w:pPr>
        <w:spacing w:after="0" w:line="36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sz w:val="20"/>
          <w:szCs w:val="20"/>
        </w:rPr>
        <w:t>Fonte: Elaborada pelos autores, 2024.</w:t>
      </w:r>
    </w:p>
    <w:p w14:paraId="00CBD26D" w14:textId="3048BC92" w:rsidR="002E6145" w:rsidRPr="00134AAC" w:rsidRDefault="00B06470">
      <w:pPr>
        <w:pStyle w:val="Ttulo2"/>
        <w:ind w:firstLine="851"/>
      </w:pPr>
      <w:bookmarkStart w:id="6" w:name="_heading=h.3dy6vkm" w:colFirst="0" w:colLast="0"/>
      <w:bookmarkEnd w:id="6"/>
      <w:r w:rsidRPr="00134AAC">
        <w:t xml:space="preserve">Etapa 3 - </w:t>
      </w:r>
      <w:r w:rsidR="00863672" w:rsidRPr="00134AAC">
        <w:t>v</w:t>
      </w:r>
      <w:r w:rsidRPr="00134AAC">
        <w:t xml:space="preserve">alidação dos </w:t>
      </w:r>
      <w:r w:rsidR="00863672" w:rsidRPr="00134AAC">
        <w:t>e</w:t>
      </w:r>
      <w:r w:rsidRPr="00134AAC">
        <w:t>specialistas: houve predominância do sexo feminino (86,6%), sendo que a maioria residia na região Centro-Oeste (60%), seguida pela região Sudeste (20%). Cerca de 53,3% possuíam graduação em enfermagem, enquanto 26,6% eram farmacêuticas. Todos os especialistas estavam vinculados a órgãos públicos relacionados à Atenção Primária à Saúde e Vigilância Sanitária em nível estadual. Já na esfera federal</w:t>
      </w:r>
      <w:r w:rsidR="00863672" w:rsidRPr="00134AAC">
        <w:t>,</w:t>
      </w:r>
      <w:r w:rsidRPr="00134AAC">
        <w:t xml:space="preserve"> participaram como especialistas representantes da Coordenação-Geral de Garantia dos Atributos da Atenção Primária (CGGAP), Departamento de Saúde da Família (DESF), Secretaria de Atenção Primária à Saúde (SAPS) e Ministério da Saúde (MS), além de membros da Gerência de Vigilância e Monitoramento em Serviços de Saúde (GVIMS) da ANVISA. Apresentamos as particularidades recomendadas por especialistas para cada domínio abordado no questionário (Tabela </w:t>
      </w:r>
      <w:sdt>
        <w:sdtPr>
          <w:tag w:val="goog_rdk_1"/>
          <w:id w:val="-248658409"/>
        </w:sdtPr>
        <w:sdtContent/>
      </w:sdt>
      <w:r w:rsidRPr="00134AAC">
        <w:t>2).</w:t>
      </w:r>
    </w:p>
    <w:p w14:paraId="2654631C" w14:textId="77777777" w:rsidR="002E6145" w:rsidRPr="00134AAC"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Times New Roman" w:eastAsia="Times New Roman" w:hAnsi="Times New Roman" w:cs="Times New Roman"/>
          <w:sz w:val="24"/>
          <w:szCs w:val="24"/>
        </w:rPr>
      </w:pPr>
      <w:sdt>
        <w:sdtPr>
          <w:tag w:val="goog_rdk_2"/>
          <w:id w:val="-2036732229"/>
        </w:sdtPr>
        <w:sdtContent/>
      </w:sdt>
      <w:r w:rsidR="00B06470" w:rsidRPr="00134AAC">
        <w:rPr>
          <w:rFonts w:ascii="Times New Roman" w:eastAsia="Times New Roman" w:hAnsi="Times New Roman" w:cs="Times New Roman"/>
          <w:b/>
          <w:sz w:val="20"/>
          <w:szCs w:val="20"/>
        </w:rPr>
        <w:t>Tabela 2.</w:t>
      </w:r>
      <w:r w:rsidR="00B06470" w:rsidRPr="00134AAC">
        <w:rPr>
          <w:rFonts w:ascii="Times New Roman" w:eastAsia="Times New Roman" w:hAnsi="Times New Roman" w:cs="Times New Roman"/>
          <w:sz w:val="20"/>
          <w:szCs w:val="20"/>
        </w:rPr>
        <w:t xml:space="preserve"> Particularidades sugeridas pelos especialistas de acordo com cada domínio do questionário</w:t>
      </w:r>
    </w:p>
    <w:tbl>
      <w:tblPr>
        <w:tblStyle w:val="a8"/>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2265"/>
        <w:gridCol w:w="2265"/>
        <w:gridCol w:w="1830"/>
      </w:tblGrid>
      <w:tr w:rsidR="002E6145" w:rsidRPr="00134AAC" w14:paraId="16E6FA84" w14:textId="77777777" w:rsidTr="00DE621D">
        <w:trPr>
          <w:trHeight w:val="215"/>
        </w:trPr>
        <w:tc>
          <w:tcPr>
            <w:tcW w:w="243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0E6AF5E7"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Domínio</w:t>
            </w:r>
          </w:p>
        </w:tc>
        <w:tc>
          <w:tcPr>
            <w:tcW w:w="6360" w:type="dxa"/>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8685DE5"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Particularidades sugeridas para alteração</w:t>
            </w:r>
          </w:p>
        </w:tc>
      </w:tr>
      <w:tr w:rsidR="002E6145" w:rsidRPr="00134AAC" w14:paraId="7FC35E8B" w14:textId="77777777" w:rsidTr="00DE621D">
        <w:trPr>
          <w:trHeight w:val="215"/>
        </w:trPr>
        <w:tc>
          <w:tcPr>
            <w:tcW w:w="2430" w:type="dxa"/>
            <w:tcBorders>
              <w:top w:val="single" w:sz="4" w:space="0" w:color="auto"/>
              <w:left w:val="nil"/>
              <w:bottom w:val="nil"/>
              <w:right w:val="nil"/>
            </w:tcBorders>
            <w:shd w:val="clear" w:color="auto" w:fill="FFFFFF"/>
            <w:tcMar>
              <w:top w:w="100" w:type="dxa"/>
              <w:left w:w="100" w:type="dxa"/>
              <w:bottom w:w="100" w:type="dxa"/>
              <w:right w:w="100" w:type="dxa"/>
            </w:tcMar>
          </w:tcPr>
          <w:p w14:paraId="36254D5B"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 xml:space="preserve">D1) Perfil do serviço de </w:t>
            </w:r>
            <w:r w:rsidRPr="00134AAC">
              <w:rPr>
                <w:rFonts w:ascii="Times New Roman" w:eastAsia="Times New Roman" w:hAnsi="Times New Roman" w:cs="Times New Roman"/>
                <w:b/>
                <w:sz w:val="20"/>
                <w:szCs w:val="20"/>
              </w:rPr>
              <w:lastRenderedPageBreak/>
              <w:t>saúde</w:t>
            </w:r>
          </w:p>
        </w:tc>
        <w:tc>
          <w:tcPr>
            <w:tcW w:w="6360" w:type="dxa"/>
            <w:gridSpan w:val="3"/>
            <w:tcBorders>
              <w:top w:val="single" w:sz="4" w:space="0" w:color="auto"/>
              <w:left w:val="nil"/>
              <w:bottom w:val="nil"/>
              <w:right w:val="nil"/>
            </w:tcBorders>
            <w:shd w:val="clear" w:color="auto" w:fill="auto"/>
            <w:tcMar>
              <w:top w:w="100" w:type="dxa"/>
              <w:left w:w="100" w:type="dxa"/>
              <w:bottom w:w="100" w:type="dxa"/>
              <w:right w:w="100" w:type="dxa"/>
            </w:tcMar>
          </w:tcPr>
          <w:p w14:paraId="501566C3"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lastRenderedPageBreak/>
              <w:t>- Sem sugestões de alterações.</w:t>
            </w:r>
          </w:p>
          <w:p w14:paraId="60142459"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tc>
      </w:tr>
      <w:tr w:rsidR="002E6145" w:rsidRPr="00134AAC" w14:paraId="3461A04A" w14:textId="77777777" w:rsidTr="00DE621D">
        <w:trPr>
          <w:trHeight w:val="215"/>
        </w:trPr>
        <w:tc>
          <w:tcPr>
            <w:tcW w:w="2430" w:type="dxa"/>
            <w:tcBorders>
              <w:top w:val="nil"/>
              <w:left w:val="nil"/>
              <w:bottom w:val="nil"/>
              <w:right w:val="nil"/>
            </w:tcBorders>
            <w:shd w:val="clear" w:color="auto" w:fill="FFFFFF"/>
            <w:tcMar>
              <w:top w:w="100" w:type="dxa"/>
              <w:left w:w="100" w:type="dxa"/>
              <w:bottom w:w="100" w:type="dxa"/>
              <w:right w:w="100" w:type="dxa"/>
            </w:tcMar>
          </w:tcPr>
          <w:p w14:paraId="050EF023"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lastRenderedPageBreak/>
              <w:t>D2) Perfil clínico-</w:t>
            </w:r>
          </w:p>
          <w:p w14:paraId="291F2916"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epidemiológico</w:t>
            </w:r>
          </w:p>
        </w:tc>
        <w:tc>
          <w:tcPr>
            <w:tcW w:w="6360" w:type="dxa"/>
            <w:gridSpan w:val="3"/>
            <w:tcBorders>
              <w:top w:val="nil"/>
              <w:left w:val="nil"/>
              <w:bottom w:val="nil"/>
              <w:right w:val="nil"/>
            </w:tcBorders>
            <w:shd w:val="clear" w:color="auto" w:fill="auto"/>
            <w:tcMar>
              <w:top w:w="100" w:type="dxa"/>
              <w:left w:w="100" w:type="dxa"/>
              <w:bottom w:w="100" w:type="dxa"/>
              <w:right w:w="100" w:type="dxa"/>
            </w:tcMar>
          </w:tcPr>
          <w:p w14:paraId="2B77F794"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Retirar questionamentos sobre os principais serviços realizados no estabelecimento de saúde.</w:t>
            </w:r>
          </w:p>
        </w:tc>
      </w:tr>
      <w:tr w:rsidR="002E6145" w:rsidRPr="00134AAC" w14:paraId="402D3F6D" w14:textId="77777777" w:rsidTr="00DE621D">
        <w:trPr>
          <w:trHeight w:val="215"/>
        </w:trPr>
        <w:tc>
          <w:tcPr>
            <w:tcW w:w="2430" w:type="dxa"/>
            <w:tcBorders>
              <w:top w:val="nil"/>
              <w:left w:val="nil"/>
              <w:bottom w:val="nil"/>
              <w:right w:val="nil"/>
            </w:tcBorders>
            <w:shd w:val="clear" w:color="auto" w:fill="FFFFFF"/>
            <w:tcMar>
              <w:top w:w="100" w:type="dxa"/>
              <w:left w:w="100" w:type="dxa"/>
              <w:bottom w:w="100" w:type="dxa"/>
              <w:right w:w="100" w:type="dxa"/>
            </w:tcMar>
          </w:tcPr>
          <w:p w14:paraId="204F0137" w14:textId="77777777" w:rsidR="002E6145" w:rsidRPr="00134AAC" w:rsidRDefault="002E6145">
            <w:pPr>
              <w:widowControl w:val="0"/>
              <w:spacing w:after="0" w:line="240" w:lineRule="auto"/>
              <w:rPr>
                <w:rFonts w:ascii="Times New Roman" w:eastAsia="Times New Roman" w:hAnsi="Times New Roman" w:cs="Times New Roman"/>
                <w:b/>
                <w:sz w:val="20"/>
                <w:szCs w:val="20"/>
              </w:rPr>
            </w:pPr>
          </w:p>
        </w:tc>
        <w:tc>
          <w:tcPr>
            <w:tcW w:w="2265" w:type="dxa"/>
            <w:tcBorders>
              <w:top w:val="nil"/>
              <w:left w:val="nil"/>
              <w:bottom w:val="nil"/>
              <w:right w:val="nil"/>
            </w:tcBorders>
            <w:shd w:val="clear" w:color="auto" w:fill="FFFFFF"/>
            <w:tcMar>
              <w:top w:w="100" w:type="dxa"/>
              <w:left w:w="100" w:type="dxa"/>
              <w:bottom w:w="100" w:type="dxa"/>
              <w:right w:w="100" w:type="dxa"/>
            </w:tcMar>
          </w:tcPr>
          <w:p w14:paraId="11EE55A7"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Melhoria na formulação das perguntas</w:t>
            </w:r>
          </w:p>
        </w:tc>
        <w:tc>
          <w:tcPr>
            <w:tcW w:w="2265" w:type="dxa"/>
            <w:tcBorders>
              <w:top w:val="nil"/>
              <w:left w:val="nil"/>
              <w:bottom w:val="nil"/>
              <w:right w:val="nil"/>
            </w:tcBorders>
            <w:shd w:val="clear" w:color="auto" w:fill="FFFFFF"/>
            <w:tcMar>
              <w:top w:w="100" w:type="dxa"/>
              <w:left w:w="100" w:type="dxa"/>
              <w:bottom w:w="100" w:type="dxa"/>
              <w:right w:w="100" w:type="dxa"/>
            </w:tcMar>
          </w:tcPr>
          <w:p w14:paraId="7F58A3C2"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Inclusão de informações e perguntas específicas</w:t>
            </w:r>
            <w:r w:rsidRPr="00134AAC">
              <w:rPr>
                <w:rFonts w:ascii="Times New Roman" w:eastAsia="Times New Roman" w:hAnsi="Times New Roman" w:cs="Times New Roman"/>
                <w:b/>
                <w:sz w:val="20"/>
                <w:szCs w:val="20"/>
              </w:rPr>
              <w:tab/>
            </w:r>
          </w:p>
        </w:tc>
        <w:tc>
          <w:tcPr>
            <w:tcW w:w="1830" w:type="dxa"/>
            <w:tcBorders>
              <w:top w:val="nil"/>
              <w:left w:val="nil"/>
              <w:bottom w:val="nil"/>
              <w:right w:val="nil"/>
            </w:tcBorders>
            <w:shd w:val="clear" w:color="auto" w:fill="FFFFFF"/>
            <w:tcMar>
              <w:top w:w="100" w:type="dxa"/>
              <w:left w:w="100" w:type="dxa"/>
              <w:bottom w:w="100" w:type="dxa"/>
              <w:right w:w="100" w:type="dxa"/>
            </w:tcMar>
          </w:tcPr>
          <w:p w14:paraId="068F3D3F"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Organização e aprimoramento de perguntas</w:t>
            </w:r>
            <w:r w:rsidRPr="00134AAC">
              <w:rPr>
                <w:rFonts w:ascii="Times New Roman" w:eastAsia="Times New Roman" w:hAnsi="Times New Roman" w:cs="Times New Roman"/>
                <w:b/>
                <w:sz w:val="20"/>
                <w:szCs w:val="20"/>
              </w:rPr>
              <w:tab/>
            </w:r>
          </w:p>
        </w:tc>
      </w:tr>
      <w:tr w:rsidR="002E6145" w:rsidRPr="00134AAC" w14:paraId="5AFEB43C" w14:textId="77777777" w:rsidTr="00DE621D">
        <w:trPr>
          <w:trHeight w:val="215"/>
        </w:trPr>
        <w:tc>
          <w:tcPr>
            <w:tcW w:w="2430" w:type="dxa"/>
            <w:tcBorders>
              <w:top w:val="nil"/>
              <w:left w:val="nil"/>
              <w:bottom w:val="nil"/>
              <w:right w:val="nil"/>
            </w:tcBorders>
            <w:shd w:val="clear" w:color="auto" w:fill="FFFFFF"/>
            <w:tcMar>
              <w:top w:w="100" w:type="dxa"/>
              <w:left w:w="100" w:type="dxa"/>
              <w:bottom w:w="100" w:type="dxa"/>
              <w:right w:w="100" w:type="dxa"/>
            </w:tcMar>
          </w:tcPr>
          <w:p w14:paraId="22E71284"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D3) Ações relacionadas às medidas de PCI</w:t>
            </w:r>
          </w:p>
        </w:tc>
        <w:tc>
          <w:tcPr>
            <w:tcW w:w="2265" w:type="dxa"/>
            <w:tcBorders>
              <w:top w:val="nil"/>
              <w:left w:val="nil"/>
              <w:bottom w:val="nil"/>
              <w:right w:val="nil"/>
            </w:tcBorders>
            <w:shd w:val="clear" w:color="auto" w:fill="auto"/>
            <w:tcMar>
              <w:top w:w="100" w:type="dxa"/>
              <w:left w:w="100" w:type="dxa"/>
              <w:bottom w:w="100" w:type="dxa"/>
              <w:right w:w="100" w:type="dxa"/>
            </w:tcMar>
          </w:tcPr>
          <w:p w14:paraId="15BE043C"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Excluir perguntas subjetivas.</w:t>
            </w:r>
          </w:p>
          <w:p w14:paraId="35B520B4"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00B467FF"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Objetividade/</w:t>
            </w:r>
          </w:p>
          <w:p w14:paraId="24064382"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Simplificação.</w:t>
            </w:r>
          </w:p>
          <w:p w14:paraId="1F58899A"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ab/>
            </w:r>
          </w:p>
          <w:p w14:paraId="22A3A0D7"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Retirar opiniões pessoais.</w:t>
            </w:r>
          </w:p>
          <w:p w14:paraId="7A5E29A9"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ab/>
            </w:r>
          </w:p>
          <w:p w14:paraId="097140E1"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 Acrescentar nas alternativas se há registros </w:t>
            </w:r>
          </w:p>
          <w:p w14:paraId="58D2B900"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comprobatórios.</w:t>
            </w:r>
          </w:p>
          <w:p w14:paraId="271016DC"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2F49B1F1"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Alteração de termos dos questionamentos.</w:t>
            </w:r>
          </w:p>
          <w:p w14:paraId="393C30FC"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5530037F"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Alterar ordem das perguntas.</w:t>
            </w:r>
          </w:p>
          <w:p w14:paraId="2E02F1B6"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41FF8D09"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tc>
        <w:tc>
          <w:tcPr>
            <w:tcW w:w="2265" w:type="dxa"/>
            <w:tcBorders>
              <w:top w:val="nil"/>
              <w:left w:val="nil"/>
              <w:bottom w:val="nil"/>
              <w:right w:val="nil"/>
            </w:tcBorders>
            <w:shd w:val="clear" w:color="auto" w:fill="auto"/>
            <w:tcMar>
              <w:top w:w="100" w:type="dxa"/>
              <w:left w:w="100" w:type="dxa"/>
              <w:bottom w:w="100" w:type="dxa"/>
              <w:right w:w="100" w:type="dxa"/>
            </w:tcMar>
          </w:tcPr>
          <w:p w14:paraId="03D27BC6"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 Especificar se produtos saneantes estão relacionados ao processo de esterilização. </w:t>
            </w:r>
          </w:p>
          <w:p w14:paraId="3CE304D1"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6C3C8E01"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Acrescentar informações sobre desinfecção, incluindo tipos e produtos utilizados.</w:t>
            </w:r>
          </w:p>
          <w:p w14:paraId="6A20B286"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036DA9C2"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Incluir detalhes sobre métodos químicos e físicos de esterilização.</w:t>
            </w:r>
          </w:p>
          <w:p w14:paraId="21161A3F"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67F9A126"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questões sobre testes utilizados como indicadores de esterilização.</w:t>
            </w:r>
            <w:r w:rsidRPr="00134AAC">
              <w:rPr>
                <w:rFonts w:ascii="Times New Roman" w:eastAsia="Times New Roman" w:hAnsi="Times New Roman" w:cs="Times New Roman"/>
                <w:sz w:val="20"/>
                <w:szCs w:val="20"/>
              </w:rPr>
              <w:tab/>
            </w:r>
          </w:p>
          <w:p w14:paraId="6EA82CD5"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44CCD526"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utensílios usados no processo de limpeza e desinfecção.</w:t>
            </w:r>
            <w:r w:rsidRPr="00134AAC">
              <w:rPr>
                <w:rFonts w:ascii="Times New Roman" w:eastAsia="Times New Roman" w:hAnsi="Times New Roman" w:cs="Times New Roman"/>
                <w:sz w:val="20"/>
                <w:szCs w:val="20"/>
              </w:rPr>
              <w:tab/>
            </w:r>
          </w:p>
          <w:p w14:paraId="0119F0B2"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5B3380A1"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Abranger mais detalhes sobre processo de esterilização, incluindo equipamentos e embalagens.</w:t>
            </w:r>
          </w:p>
          <w:p w14:paraId="61DA8185"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ab/>
            </w:r>
          </w:p>
          <w:p w14:paraId="16A7B93D"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Incluir outros produtos saneantes no processo de limpeza e desinfecção.</w:t>
            </w:r>
          </w:p>
          <w:p w14:paraId="3B7A1E8B"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56F29BFA"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Incluir outros produtos de limpeza e produtos saneantes.</w:t>
            </w:r>
            <w:r w:rsidRPr="00134AAC">
              <w:rPr>
                <w:rFonts w:ascii="Times New Roman" w:eastAsia="Times New Roman" w:hAnsi="Times New Roman" w:cs="Times New Roman"/>
                <w:sz w:val="20"/>
                <w:szCs w:val="20"/>
              </w:rPr>
              <w:tab/>
            </w:r>
          </w:p>
          <w:p w14:paraId="3456ABB9"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Incluir detalhes sobre processo de higienização das mãos pelos trabalhadores.</w:t>
            </w:r>
            <w:r w:rsidRPr="00134AAC">
              <w:rPr>
                <w:rFonts w:ascii="Times New Roman" w:eastAsia="Times New Roman" w:hAnsi="Times New Roman" w:cs="Times New Roman"/>
                <w:sz w:val="20"/>
                <w:szCs w:val="20"/>
              </w:rPr>
              <w:tab/>
            </w:r>
          </w:p>
        </w:tc>
        <w:tc>
          <w:tcPr>
            <w:tcW w:w="1830" w:type="dxa"/>
            <w:tcBorders>
              <w:top w:val="nil"/>
              <w:left w:val="nil"/>
              <w:bottom w:val="nil"/>
              <w:right w:val="nil"/>
            </w:tcBorders>
            <w:shd w:val="clear" w:color="auto" w:fill="auto"/>
            <w:tcMar>
              <w:top w:w="100" w:type="dxa"/>
              <w:left w:w="100" w:type="dxa"/>
              <w:bottom w:w="100" w:type="dxa"/>
              <w:right w:w="100" w:type="dxa"/>
            </w:tcMar>
          </w:tcPr>
          <w:p w14:paraId="7C06B33E"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questionamento sobre disponibilidade de álcool gel para equipes.</w:t>
            </w:r>
          </w:p>
          <w:p w14:paraId="281745F7"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1FE3D2B3"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questionamento sobre protocolos relacionados a medidas de prevenção e controle de infecções.</w:t>
            </w:r>
          </w:p>
          <w:p w14:paraId="0216D8D3"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4188C82E"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questionamento sobre periodicidade dos treinamentos de higienização das mãos.</w:t>
            </w:r>
          </w:p>
          <w:p w14:paraId="37746907"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07EDF3A2"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questionamento sobre periodicidade dos treinamentos de higienização das mãos.</w:t>
            </w:r>
          </w:p>
          <w:p w14:paraId="4EA84945"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290FB77B"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Inserir questionamento sobre registro por escrito da realização periódica dos procedimentos.</w:t>
            </w:r>
          </w:p>
        </w:tc>
      </w:tr>
      <w:tr w:rsidR="002E6145" w:rsidRPr="00134AAC" w14:paraId="391F176B" w14:textId="77777777" w:rsidTr="00DE621D">
        <w:trPr>
          <w:trHeight w:val="215"/>
        </w:trPr>
        <w:tc>
          <w:tcPr>
            <w:tcW w:w="2430" w:type="dxa"/>
            <w:vMerge w:val="restart"/>
            <w:tcBorders>
              <w:top w:val="nil"/>
              <w:left w:val="nil"/>
              <w:bottom w:val="nil"/>
              <w:right w:val="nil"/>
            </w:tcBorders>
            <w:shd w:val="clear" w:color="auto" w:fill="FFFFFF"/>
            <w:tcMar>
              <w:top w:w="100" w:type="dxa"/>
              <w:left w:w="100" w:type="dxa"/>
              <w:bottom w:w="100" w:type="dxa"/>
              <w:right w:w="100" w:type="dxa"/>
            </w:tcMar>
          </w:tcPr>
          <w:p w14:paraId="785557BB" w14:textId="77777777" w:rsidR="002E6145" w:rsidRPr="00134AAC" w:rsidRDefault="002E6145">
            <w:pPr>
              <w:widowControl w:val="0"/>
              <w:spacing w:after="0" w:line="240" w:lineRule="auto"/>
              <w:rPr>
                <w:rFonts w:ascii="Times New Roman" w:eastAsia="Times New Roman" w:hAnsi="Times New Roman" w:cs="Times New Roman"/>
                <w:b/>
                <w:sz w:val="20"/>
                <w:szCs w:val="20"/>
              </w:rPr>
            </w:pPr>
          </w:p>
          <w:p w14:paraId="7D139D63"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D4) Ações para o gerenciamento do uso de ATM</w:t>
            </w:r>
          </w:p>
          <w:p w14:paraId="7489D3ED" w14:textId="77777777" w:rsidR="002E6145" w:rsidRPr="00134AAC" w:rsidRDefault="002E6145">
            <w:pPr>
              <w:widowControl w:val="0"/>
              <w:spacing w:after="0" w:line="240" w:lineRule="auto"/>
              <w:rPr>
                <w:rFonts w:ascii="Times New Roman" w:eastAsia="Times New Roman" w:hAnsi="Times New Roman" w:cs="Times New Roman"/>
                <w:b/>
                <w:sz w:val="20"/>
                <w:szCs w:val="20"/>
              </w:rPr>
            </w:pPr>
          </w:p>
          <w:p w14:paraId="669419C4" w14:textId="77777777" w:rsidR="002E6145" w:rsidRPr="00134AAC" w:rsidRDefault="002E6145">
            <w:pPr>
              <w:widowControl w:val="0"/>
              <w:spacing w:after="0" w:line="240" w:lineRule="auto"/>
              <w:rPr>
                <w:rFonts w:ascii="Times New Roman" w:eastAsia="Times New Roman" w:hAnsi="Times New Roman" w:cs="Times New Roman"/>
                <w:b/>
                <w:sz w:val="20"/>
                <w:szCs w:val="20"/>
              </w:rPr>
            </w:pPr>
          </w:p>
        </w:tc>
        <w:tc>
          <w:tcPr>
            <w:tcW w:w="2265" w:type="dxa"/>
            <w:tcBorders>
              <w:top w:val="nil"/>
              <w:left w:val="nil"/>
              <w:bottom w:val="nil"/>
              <w:right w:val="nil"/>
            </w:tcBorders>
            <w:shd w:val="clear" w:color="auto" w:fill="FFFFFF"/>
            <w:tcMar>
              <w:top w:w="100" w:type="dxa"/>
              <w:left w:w="100" w:type="dxa"/>
              <w:bottom w:w="100" w:type="dxa"/>
              <w:right w:w="100" w:type="dxa"/>
            </w:tcMar>
          </w:tcPr>
          <w:p w14:paraId="5AAD58FB"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Ajustes e Esclarecimentos</w:t>
            </w:r>
          </w:p>
        </w:tc>
        <w:tc>
          <w:tcPr>
            <w:tcW w:w="2265" w:type="dxa"/>
            <w:tcBorders>
              <w:top w:val="nil"/>
              <w:left w:val="nil"/>
              <w:bottom w:val="nil"/>
              <w:right w:val="nil"/>
            </w:tcBorders>
            <w:shd w:val="clear" w:color="auto" w:fill="FFFFFF"/>
            <w:tcMar>
              <w:top w:w="100" w:type="dxa"/>
              <w:left w:w="100" w:type="dxa"/>
              <w:bottom w:w="100" w:type="dxa"/>
              <w:right w:w="100" w:type="dxa"/>
            </w:tcMar>
          </w:tcPr>
          <w:p w14:paraId="473B7AC9"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Inclusão de Informações</w:t>
            </w:r>
            <w:r w:rsidRPr="00134AAC">
              <w:rPr>
                <w:rFonts w:ascii="Times New Roman" w:eastAsia="Times New Roman" w:hAnsi="Times New Roman" w:cs="Times New Roman"/>
                <w:b/>
                <w:sz w:val="20"/>
                <w:szCs w:val="20"/>
              </w:rPr>
              <w:tab/>
            </w:r>
          </w:p>
        </w:tc>
        <w:tc>
          <w:tcPr>
            <w:tcW w:w="1830" w:type="dxa"/>
            <w:tcBorders>
              <w:top w:val="nil"/>
              <w:left w:val="nil"/>
              <w:bottom w:val="nil"/>
              <w:right w:val="nil"/>
            </w:tcBorders>
            <w:shd w:val="clear" w:color="auto" w:fill="FFFFFF"/>
            <w:tcMar>
              <w:top w:w="100" w:type="dxa"/>
              <w:left w:w="100" w:type="dxa"/>
              <w:bottom w:w="100" w:type="dxa"/>
              <w:right w:w="100" w:type="dxa"/>
            </w:tcMar>
          </w:tcPr>
          <w:p w14:paraId="4FE2568C"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Outras Alterações</w:t>
            </w:r>
            <w:r w:rsidRPr="00134AAC">
              <w:rPr>
                <w:rFonts w:ascii="Times New Roman" w:eastAsia="Times New Roman" w:hAnsi="Times New Roman" w:cs="Times New Roman"/>
                <w:b/>
                <w:sz w:val="20"/>
                <w:szCs w:val="20"/>
              </w:rPr>
              <w:tab/>
            </w:r>
          </w:p>
        </w:tc>
      </w:tr>
      <w:tr w:rsidR="002E6145" w:rsidRPr="00134AAC" w14:paraId="5FF39BAB" w14:textId="77777777" w:rsidTr="00DE621D">
        <w:trPr>
          <w:trHeight w:val="215"/>
        </w:trPr>
        <w:tc>
          <w:tcPr>
            <w:tcW w:w="2430" w:type="dxa"/>
            <w:vMerge/>
            <w:tcBorders>
              <w:top w:val="nil"/>
              <w:left w:val="nil"/>
              <w:bottom w:val="nil"/>
              <w:right w:val="nil"/>
            </w:tcBorders>
            <w:shd w:val="clear" w:color="auto" w:fill="FFFFFF"/>
            <w:tcMar>
              <w:top w:w="100" w:type="dxa"/>
              <w:left w:w="100" w:type="dxa"/>
              <w:bottom w:w="100" w:type="dxa"/>
              <w:right w:w="100" w:type="dxa"/>
            </w:tcMar>
          </w:tcPr>
          <w:p w14:paraId="78D2468C"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2265" w:type="dxa"/>
            <w:vMerge w:val="restart"/>
            <w:tcBorders>
              <w:top w:val="nil"/>
              <w:left w:val="nil"/>
              <w:bottom w:val="nil"/>
              <w:right w:val="nil"/>
            </w:tcBorders>
            <w:shd w:val="clear" w:color="auto" w:fill="FFFFFF"/>
            <w:tcMar>
              <w:top w:w="100" w:type="dxa"/>
              <w:left w:w="100" w:type="dxa"/>
              <w:bottom w:w="100" w:type="dxa"/>
              <w:right w:w="100" w:type="dxa"/>
            </w:tcMar>
          </w:tcPr>
          <w:p w14:paraId="35E97188"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 Ajustar RDC nº 222/2018 que dispõe sobre boas práticas de Gerenciamento dos Resíduos de Serviços de </w:t>
            </w:r>
            <w:r w:rsidRPr="00134AAC">
              <w:rPr>
                <w:rFonts w:ascii="Times New Roman" w:eastAsia="Times New Roman" w:hAnsi="Times New Roman" w:cs="Times New Roman"/>
                <w:sz w:val="20"/>
                <w:szCs w:val="20"/>
              </w:rPr>
              <w:lastRenderedPageBreak/>
              <w:t>Saúde</w:t>
            </w:r>
          </w:p>
          <w:p w14:paraId="57B52DDF"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Esclarecer se as perguntas estão voltadas para IRAS ou infecções encontradas nos estabelecimentos.</w:t>
            </w:r>
          </w:p>
          <w:p w14:paraId="5CAD9814"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0AB02FD4"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Alteração de termo dispensação de ATM para fornecimento ou entrega de medicamentos.</w:t>
            </w:r>
          </w:p>
        </w:tc>
        <w:tc>
          <w:tcPr>
            <w:tcW w:w="2265" w:type="dxa"/>
            <w:vMerge w:val="restart"/>
            <w:tcBorders>
              <w:top w:val="nil"/>
              <w:left w:val="nil"/>
              <w:bottom w:val="nil"/>
              <w:right w:val="nil"/>
            </w:tcBorders>
            <w:shd w:val="clear" w:color="auto" w:fill="FFFFFF"/>
            <w:tcMar>
              <w:top w:w="100" w:type="dxa"/>
              <w:left w:w="100" w:type="dxa"/>
              <w:bottom w:w="100" w:type="dxa"/>
              <w:right w:w="100" w:type="dxa"/>
            </w:tcMar>
          </w:tcPr>
          <w:p w14:paraId="24279575"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lastRenderedPageBreak/>
              <w:t>- Incluir Relação Estadual de Medicamentos.</w:t>
            </w:r>
          </w:p>
          <w:p w14:paraId="1D9D813F"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3E741C43"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 Acrescentar demais profissões que </w:t>
            </w:r>
            <w:r w:rsidRPr="00134AAC">
              <w:rPr>
                <w:rFonts w:ascii="Times New Roman" w:eastAsia="Times New Roman" w:hAnsi="Times New Roman" w:cs="Times New Roman"/>
                <w:sz w:val="20"/>
                <w:szCs w:val="20"/>
              </w:rPr>
              <w:lastRenderedPageBreak/>
              <w:t>prescrevem antimicrobianos na APS.</w:t>
            </w:r>
          </w:p>
          <w:p w14:paraId="076D1008"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7E0CC6A3"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Acrescentar perguntas sobre a regularidade dos abastecimentos de ATM.</w:t>
            </w:r>
          </w:p>
          <w:p w14:paraId="4B2D6336"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p w14:paraId="2743DC2B" w14:textId="77777777" w:rsidR="002E6145" w:rsidRPr="00134AAC" w:rsidRDefault="002E6145">
            <w:pPr>
              <w:widowControl w:val="0"/>
              <w:spacing w:after="0" w:line="240" w:lineRule="auto"/>
              <w:jc w:val="both"/>
              <w:rPr>
                <w:rFonts w:ascii="Times New Roman" w:eastAsia="Times New Roman" w:hAnsi="Times New Roman" w:cs="Times New Roman"/>
                <w:sz w:val="20"/>
                <w:szCs w:val="20"/>
              </w:rPr>
            </w:pPr>
          </w:p>
        </w:tc>
        <w:tc>
          <w:tcPr>
            <w:tcW w:w="1830" w:type="dxa"/>
            <w:tcBorders>
              <w:top w:val="nil"/>
              <w:left w:val="nil"/>
              <w:bottom w:val="nil"/>
              <w:right w:val="nil"/>
            </w:tcBorders>
            <w:shd w:val="clear" w:color="auto" w:fill="FFFFFF"/>
            <w:tcMar>
              <w:top w:w="100" w:type="dxa"/>
              <w:left w:w="100" w:type="dxa"/>
              <w:bottom w:w="100" w:type="dxa"/>
              <w:right w:w="100" w:type="dxa"/>
            </w:tcMar>
          </w:tcPr>
          <w:p w14:paraId="71623762"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lastRenderedPageBreak/>
              <w:t>- Exclusão de Perguntas Subjetivas.</w:t>
            </w:r>
            <w:r w:rsidRPr="00134AAC">
              <w:rPr>
                <w:rFonts w:ascii="Times New Roman" w:eastAsia="Times New Roman" w:hAnsi="Times New Roman" w:cs="Times New Roman"/>
                <w:sz w:val="20"/>
                <w:szCs w:val="20"/>
              </w:rPr>
              <w:tab/>
            </w:r>
          </w:p>
        </w:tc>
      </w:tr>
      <w:tr w:rsidR="002E6145" w:rsidRPr="00134AAC" w14:paraId="6F5469FB" w14:textId="77777777" w:rsidTr="00DE621D">
        <w:trPr>
          <w:trHeight w:val="215"/>
        </w:trPr>
        <w:tc>
          <w:tcPr>
            <w:tcW w:w="2430" w:type="dxa"/>
            <w:vMerge/>
            <w:tcBorders>
              <w:top w:val="nil"/>
              <w:left w:val="nil"/>
              <w:bottom w:val="nil"/>
              <w:right w:val="nil"/>
            </w:tcBorders>
            <w:shd w:val="clear" w:color="auto" w:fill="FFFFFF"/>
            <w:tcMar>
              <w:top w:w="100" w:type="dxa"/>
              <w:left w:w="100" w:type="dxa"/>
              <w:bottom w:w="100" w:type="dxa"/>
              <w:right w:w="100" w:type="dxa"/>
            </w:tcMar>
          </w:tcPr>
          <w:p w14:paraId="1FA7CCB5"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265" w:type="dxa"/>
            <w:vMerge/>
            <w:tcBorders>
              <w:top w:val="nil"/>
              <w:left w:val="nil"/>
              <w:bottom w:val="nil"/>
              <w:right w:val="nil"/>
            </w:tcBorders>
            <w:shd w:val="clear" w:color="auto" w:fill="FFFFFF"/>
            <w:tcMar>
              <w:top w:w="100" w:type="dxa"/>
              <w:left w:w="100" w:type="dxa"/>
              <w:bottom w:w="100" w:type="dxa"/>
              <w:right w:w="100" w:type="dxa"/>
            </w:tcMar>
          </w:tcPr>
          <w:p w14:paraId="03651094"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265" w:type="dxa"/>
            <w:vMerge/>
            <w:tcBorders>
              <w:top w:val="nil"/>
              <w:left w:val="nil"/>
              <w:bottom w:val="nil"/>
              <w:right w:val="nil"/>
            </w:tcBorders>
            <w:shd w:val="clear" w:color="auto" w:fill="FFFFFF"/>
            <w:tcMar>
              <w:top w:w="100" w:type="dxa"/>
              <w:left w:w="100" w:type="dxa"/>
              <w:bottom w:w="100" w:type="dxa"/>
              <w:right w:w="100" w:type="dxa"/>
            </w:tcMar>
          </w:tcPr>
          <w:p w14:paraId="5739A28E"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591E028B" w14:textId="77777777" w:rsidR="002E6145" w:rsidRPr="00134AAC" w:rsidRDefault="00B06470">
            <w:pPr>
              <w:widowControl w:val="0"/>
              <w:spacing w:after="0" w:line="24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 Inserir uma </w:t>
            </w:r>
            <w:r w:rsidRPr="00134AAC">
              <w:rPr>
                <w:rFonts w:ascii="Times New Roman" w:eastAsia="Times New Roman" w:hAnsi="Times New Roman" w:cs="Times New Roman"/>
                <w:sz w:val="20"/>
                <w:szCs w:val="20"/>
              </w:rPr>
              <w:lastRenderedPageBreak/>
              <w:t>terceira opção que considere esclarecer e orientar o paciente e então prescrever porque achamos que pode refletir a realidade de alguns serviços, na pergunta sobre os profissionais de saúde do serviço de saúde sofrerem pressão por parte dos pacientes para prescrição de ATM.</w:t>
            </w:r>
          </w:p>
        </w:tc>
      </w:tr>
      <w:tr w:rsidR="002E6145" w:rsidRPr="00134AAC" w14:paraId="43C759BE" w14:textId="77777777" w:rsidTr="00DE621D">
        <w:trPr>
          <w:trHeight w:val="215"/>
        </w:trPr>
        <w:tc>
          <w:tcPr>
            <w:tcW w:w="2430" w:type="dxa"/>
            <w:tcBorders>
              <w:top w:val="nil"/>
              <w:left w:val="nil"/>
              <w:bottom w:val="nil"/>
              <w:right w:val="nil"/>
            </w:tcBorders>
            <w:shd w:val="clear" w:color="auto" w:fill="FFFFFF"/>
            <w:tcMar>
              <w:top w:w="100" w:type="dxa"/>
              <w:left w:w="100" w:type="dxa"/>
              <w:bottom w:w="100" w:type="dxa"/>
              <w:right w:w="100" w:type="dxa"/>
            </w:tcMar>
          </w:tcPr>
          <w:p w14:paraId="1472BA12"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lastRenderedPageBreak/>
              <w:t>D5) Educação em saúde sobre as medidas de PCI</w:t>
            </w:r>
          </w:p>
        </w:tc>
        <w:tc>
          <w:tcPr>
            <w:tcW w:w="6360" w:type="dxa"/>
            <w:gridSpan w:val="3"/>
            <w:tcBorders>
              <w:top w:val="nil"/>
              <w:left w:val="nil"/>
              <w:bottom w:val="nil"/>
              <w:right w:val="nil"/>
            </w:tcBorders>
            <w:shd w:val="clear" w:color="auto" w:fill="auto"/>
            <w:tcMar>
              <w:top w:w="100" w:type="dxa"/>
              <w:left w:w="100" w:type="dxa"/>
              <w:bottom w:w="100" w:type="dxa"/>
              <w:right w:w="100" w:type="dxa"/>
            </w:tcMar>
          </w:tcPr>
          <w:p w14:paraId="10590FFF" w14:textId="77777777" w:rsidR="002E6145" w:rsidRPr="00134AAC" w:rsidRDefault="00B06470">
            <w:pPr>
              <w:widowControl w:val="0"/>
              <w:spacing w:after="0" w:line="240" w:lineRule="auto"/>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Alteração de termos das perguntas.</w:t>
            </w:r>
          </w:p>
        </w:tc>
      </w:tr>
      <w:tr w:rsidR="002E6145" w:rsidRPr="00134AAC" w14:paraId="704D9C0A" w14:textId="77777777" w:rsidTr="00DE621D">
        <w:trPr>
          <w:trHeight w:val="215"/>
        </w:trPr>
        <w:tc>
          <w:tcPr>
            <w:tcW w:w="2430" w:type="dxa"/>
            <w:tcBorders>
              <w:top w:val="nil"/>
              <w:left w:val="nil"/>
              <w:bottom w:val="single" w:sz="4" w:space="0" w:color="auto"/>
              <w:right w:val="nil"/>
            </w:tcBorders>
            <w:shd w:val="clear" w:color="auto" w:fill="FFFFFF"/>
            <w:tcMar>
              <w:top w:w="100" w:type="dxa"/>
              <w:left w:w="100" w:type="dxa"/>
              <w:bottom w:w="100" w:type="dxa"/>
              <w:right w:w="100" w:type="dxa"/>
            </w:tcMar>
          </w:tcPr>
          <w:p w14:paraId="51CA9907" w14:textId="77777777" w:rsidR="002E6145" w:rsidRPr="00134AAC" w:rsidRDefault="00B06470">
            <w:pPr>
              <w:widowControl w:val="0"/>
              <w:spacing w:after="0" w:line="240" w:lineRule="auto"/>
              <w:jc w:val="center"/>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D6) Educação em saúde com enfoque no gerenciamento do uso de ATM</w:t>
            </w:r>
          </w:p>
        </w:tc>
        <w:tc>
          <w:tcPr>
            <w:tcW w:w="6360" w:type="dxa"/>
            <w:gridSpan w:val="3"/>
            <w:tcBorders>
              <w:top w:val="nil"/>
              <w:left w:val="nil"/>
              <w:bottom w:val="single" w:sz="4" w:space="0" w:color="auto"/>
              <w:right w:val="nil"/>
            </w:tcBorders>
            <w:shd w:val="clear" w:color="auto" w:fill="auto"/>
            <w:tcMar>
              <w:top w:w="100" w:type="dxa"/>
              <w:left w:w="100" w:type="dxa"/>
              <w:bottom w:w="100" w:type="dxa"/>
              <w:right w:w="100" w:type="dxa"/>
            </w:tcMar>
          </w:tcPr>
          <w:p w14:paraId="645D7490" w14:textId="77777777" w:rsidR="002E6145" w:rsidRPr="00134AAC" w:rsidRDefault="00B06470">
            <w:pPr>
              <w:widowControl w:val="0"/>
              <w:spacing w:after="0" w:line="240" w:lineRule="auto"/>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Sem sugestões de alterações.</w:t>
            </w:r>
          </w:p>
        </w:tc>
      </w:tr>
    </w:tbl>
    <w:p w14:paraId="6C6822C4" w14:textId="77777777" w:rsidR="002E6145" w:rsidRPr="00134AAC" w:rsidRDefault="00B06470">
      <w:pPr>
        <w:spacing w:after="0" w:line="36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sz w:val="20"/>
          <w:szCs w:val="20"/>
        </w:rPr>
        <w:t>Fonte: Elaborada pelos autores, 2024.</w:t>
      </w:r>
    </w:p>
    <w:p w14:paraId="720AB236" w14:textId="32F85344"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 xml:space="preserve">Os especialistas propuseram mudanças no vocabulário do questionário, totalizando um número significativo de 91 sugestões. Essas sugestões refletem a importância de </w:t>
      </w:r>
      <w:r w:rsidR="00863672" w:rsidRPr="00134AAC">
        <w:rPr>
          <w:rFonts w:ascii="Times New Roman" w:eastAsia="Times New Roman" w:hAnsi="Times New Roman" w:cs="Times New Roman"/>
          <w:sz w:val="24"/>
          <w:szCs w:val="24"/>
        </w:rPr>
        <w:t xml:space="preserve">se </w:t>
      </w:r>
      <w:r w:rsidRPr="00134AAC">
        <w:rPr>
          <w:rFonts w:ascii="Times New Roman" w:eastAsia="Times New Roman" w:hAnsi="Times New Roman" w:cs="Times New Roman"/>
          <w:sz w:val="24"/>
          <w:szCs w:val="24"/>
        </w:rPr>
        <w:t>utilizar uma linguagem precisa e adequada para garantir a clareza e a eficácia do questionário. Ao fazer alterações no vocabulário, os especialistas podem ter buscado tornar as perguntas mais compreensíveis para o público-alvo, eliminando termos técnicos excessivamente complexos ou ambíguos.</w:t>
      </w:r>
    </w:p>
    <w:p w14:paraId="1F63A8F2" w14:textId="52945171" w:rsidR="00DE621D" w:rsidRPr="00134AAC" w:rsidRDefault="00000000" w:rsidP="00DE621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sz w:val="24"/>
          <w:szCs w:val="24"/>
        </w:rPr>
      </w:pPr>
      <w:sdt>
        <w:sdtPr>
          <w:tag w:val="goog_rdk_3"/>
          <w:id w:val="-1717880670"/>
        </w:sdtPr>
        <w:sdtContent/>
      </w:sdt>
      <w:r w:rsidR="00B06470" w:rsidRPr="00134AAC">
        <w:rPr>
          <w:rFonts w:ascii="Times New Roman" w:eastAsia="Times New Roman" w:hAnsi="Times New Roman" w:cs="Times New Roman"/>
          <w:sz w:val="24"/>
          <w:szCs w:val="24"/>
        </w:rPr>
        <w:t xml:space="preserve">Observou-se que todos os itens dos domínios 1, 2, 5 e 6 exibiram um IVC superior a 0,75. Entretanto, nos domínios 3 e 4, o IVC foi inferior ao valor de referência (0,75), sendo </w:t>
      </w:r>
      <w:r w:rsidR="00863672" w:rsidRPr="00134AAC">
        <w:rPr>
          <w:rFonts w:ascii="Times New Roman" w:eastAsia="Times New Roman" w:hAnsi="Times New Roman" w:cs="Times New Roman"/>
          <w:sz w:val="24"/>
          <w:szCs w:val="24"/>
        </w:rPr>
        <w:t>assim,</w:t>
      </w:r>
      <w:r w:rsidR="00B06470" w:rsidRPr="00134AAC">
        <w:rPr>
          <w:rFonts w:ascii="Times New Roman" w:eastAsia="Times New Roman" w:hAnsi="Times New Roman" w:cs="Times New Roman"/>
          <w:sz w:val="24"/>
          <w:szCs w:val="24"/>
        </w:rPr>
        <w:t xml:space="preserve"> as principais modificações realizadas, a partir das sugestões dos especialistas-avaliadores, foram adequações terminológicas, correções ortográficas e detalhamento do texto. O IVC média geral foi de 0,74 com desvio padrão (dp ± 0,29) (Tabela 3).</w:t>
      </w:r>
    </w:p>
    <w:p w14:paraId="4D5511F9"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sz w:val="24"/>
          <w:szCs w:val="24"/>
        </w:rPr>
      </w:pPr>
      <w:r w:rsidRPr="00134AAC">
        <w:rPr>
          <w:rFonts w:ascii="Times New Roman" w:eastAsia="Times New Roman" w:hAnsi="Times New Roman" w:cs="Times New Roman"/>
          <w:b/>
          <w:sz w:val="20"/>
          <w:szCs w:val="20"/>
        </w:rPr>
        <w:t xml:space="preserve">Tabela 3. </w:t>
      </w:r>
      <w:r w:rsidRPr="00134AAC">
        <w:rPr>
          <w:rFonts w:ascii="Times New Roman" w:eastAsia="Times New Roman" w:hAnsi="Times New Roman" w:cs="Times New Roman"/>
          <w:sz w:val="20"/>
          <w:szCs w:val="20"/>
        </w:rPr>
        <w:t>Avaliação dos especialistas sobre os itens relacionados do questionário em diferentes regiões da Atenção Primária do Brasil</w:t>
      </w:r>
    </w:p>
    <w:tbl>
      <w:tblPr>
        <w:tblStyle w:val="a9"/>
        <w:tblW w:w="8565"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800"/>
        <w:gridCol w:w="1305"/>
        <w:gridCol w:w="705"/>
        <w:gridCol w:w="900"/>
      </w:tblGrid>
      <w:tr w:rsidR="002E6145" w:rsidRPr="00134AAC" w14:paraId="61355846" w14:textId="77777777" w:rsidTr="00DE621D">
        <w:trPr>
          <w:trHeight w:val="215"/>
        </w:trPr>
        <w:tc>
          <w:tcPr>
            <w:tcW w:w="3855"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539F50ED"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21F07B47"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21B60AD7"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Domínio</w:t>
            </w:r>
          </w:p>
        </w:tc>
        <w:tc>
          <w:tcPr>
            <w:tcW w:w="3105" w:type="dxa"/>
            <w:gridSpan w:val="2"/>
            <w:tcBorders>
              <w:left w:val="single" w:sz="8" w:space="0" w:color="FFFFFF"/>
              <w:right w:val="nil"/>
            </w:tcBorders>
            <w:shd w:val="clear" w:color="auto" w:fill="auto"/>
            <w:tcMar>
              <w:top w:w="100" w:type="dxa"/>
              <w:left w:w="100" w:type="dxa"/>
              <w:bottom w:w="100" w:type="dxa"/>
              <w:right w:w="100" w:type="dxa"/>
            </w:tcMar>
          </w:tcPr>
          <w:p w14:paraId="5FCAAED9"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Avaliação</w:t>
            </w:r>
          </w:p>
        </w:tc>
        <w:tc>
          <w:tcPr>
            <w:tcW w:w="705" w:type="dxa"/>
            <w:vMerge w:val="restart"/>
            <w:tcBorders>
              <w:left w:val="nil"/>
              <w:right w:val="single" w:sz="8" w:space="0" w:color="FFFFFF"/>
            </w:tcBorders>
            <w:shd w:val="clear" w:color="auto" w:fill="auto"/>
            <w:tcMar>
              <w:top w:w="100" w:type="dxa"/>
              <w:left w:w="100" w:type="dxa"/>
              <w:bottom w:w="100" w:type="dxa"/>
              <w:right w:w="100" w:type="dxa"/>
            </w:tcMar>
          </w:tcPr>
          <w:p w14:paraId="7DA2A560"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63AF5F51"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59E8819D" w14:textId="77777777" w:rsidR="002E6145" w:rsidRPr="00134AAC" w:rsidRDefault="00B06470">
            <w:pPr>
              <w:widowControl w:val="0"/>
              <w:spacing w:after="0" w:line="240" w:lineRule="auto"/>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IVC</w:t>
            </w:r>
          </w:p>
        </w:tc>
        <w:tc>
          <w:tcPr>
            <w:tcW w:w="900"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47C1400C"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5BC2E84C"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5F568094"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IVC</w:t>
            </w:r>
          </w:p>
          <w:p w14:paraId="148F86DC"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média </w:t>
            </w:r>
          </w:p>
        </w:tc>
      </w:tr>
      <w:tr w:rsidR="002E6145" w:rsidRPr="00134AAC" w14:paraId="17327DC7" w14:textId="77777777" w:rsidTr="00DE621D">
        <w:trPr>
          <w:trHeight w:val="215"/>
        </w:trPr>
        <w:tc>
          <w:tcPr>
            <w:tcW w:w="38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568851AA"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00" w:type="dxa"/>
            <w:tcBorders>
              <w:left w:val="single" w:sz="8" w:space="0" w:color="FFFFFF"/>
              <w:right w:val="single" w:sz="8" w:space="0" w:color="FFFFFF"/>
            </w:tcBorders>
            <w:shd w:val="clear" w:color="auto" w:fill="auto"/>
            <w:tcMar>
              <w:top w:w="100" w:type="dxa"/>
              <w:left w:w="100" w:type="dxa"/>
              <w:bottom w:w="100" w:type="dxa"/>
              <w:right w:w="100" w:type="dxa"/>
            </w:tcMar>
          </w:tcPr>
          <w:p w14:paraId="46B1D79A"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Itens adequados com alterações </w:t>
            </w:r>
          </w:p>
          <w:p w14:paraId="2FA8F78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n (%)                  </w:t>
            </w:r>
          </w:p>
        </w:tc>
        <w:tc>
          <w:tcPr>
            <w:tcW w:w="1305" w:type="dxa"/>
            <w:tcBorders>
              <w:left w:val="single" w:sz="8" w:space="0" w:color="FFFFFF"/>
              <w:right w:val="single" w:sz="8" w:space="0" w:color="FFFFFF"/>
            </w:tcBorders>
            <w:shd w:val="clear" w:color="auto" w:fill="auto"/>
            <w:tcMar>
              <w:top w:w="100" w:type="dxa"/>
              <w:left w:w="100" w:type="dxa"/>
              <w:bottom w:w="100" w:type="dxa"/>
              <w:right w:w="100" w:type="dxa"/>
            </w:tcMar>
          </w:tcPr>
          <w:p w14:paraId="002DB671"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Itens Adequados</w:t>
            </w:r>
          </w:p>
          <w:p w14:paraId="74BCB4D6"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n (%)</w:t>
            </w:r>
          </w:p>
        </w:tc>
        <w:tc>
          <w:tcPr>
            <w:tcW w:w="7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067260E5"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00" w:type="dxa"/>
            <w:vMerge/>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6CFBE94F"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2E6145" w:rsidRPr="00134AAC" w14:paraId="0AF8A73D" w14:textId="77777777" w:rsidTr="00DE621D">
        <w:trPr>
          <w:trHeight w:val="215"/>
        </w:trPr>
        <w:tc>
          <w:tcPr>
            <w:tcW w:w="38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0FFB5C"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D1) Perfil do serviço de saúde</w:t>
            </w:r>
          </w:p>
        </w:tc>
        <w:tc>
          <w:tcPr>
            <w:tcW w:w="18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2AB784"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0  (0,0)                 </w:t>
            </w:r>
          </w:p>
        </w:tc>
        <w:tc>
          <w:tcPr>
            <w:tcW w:w="130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CEF42F"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15 (100)</w:t>
            </w:r>
          </w:p>
        </w:tc>
        <w:tc>
          <w:tcPr>
            <w:tcW w:w="70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7A6F84"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1</w:t>
            </w:r>
          </w:p>
        </w:tc>
        <w:tc>
          <w:tcPr>
            <w:tcW w:w="900" w:type="dxa"/>
            <w:vMerge w:val="restart"/>
            <w:tcBorders>
              <w:top w:val="single" w:sz="4" w:space="0" w:color="auto"/>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5A14D685"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6C76A12A"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1E11BF8C"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29EE17EE"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2E18D689"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09EB0DC7"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197C5420"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51B41861"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05182964"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0,74</w:t>
            </w:r>
          </w:p>
        </w:tc>
      </w:tr>
      <w:tr w:rsidR="002E6145" w:rsidRPr="00134AAC" w14:paraId="28C7015E" w14:textId="77777777" w:rsidTr="00DE621D">
        <w:trPr>
          <w:trHeight w:val="215"/>
        </w:trPr>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3494B3"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lastRenderedPageBreak/>
              <w:t>D2) Perfil clínico-epidemiológico</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3939B7"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 (6,7)                  </w:t>
            </w:r>
          </w:p>
        </w:tc>
        <w:tc>
          <w:tcPr>
            <w:tcW w:w="1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682582"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14 (93,3)                 </w:t>
            </w:r>
          </w:p>
        </w:tc>
        <w:tc>
          <w:tcPr>
            <w:tcW w:w="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73B009"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0,93</w:t>
            </w:r>
          </w:p>
        </w:tc>
        <w:tc>
          <w:tcPr>
            <w:tcW w:w="900" w:type="dxa"/>
            <w:vMerge/>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193531DF"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2E6145" w:rsidRPr="00134AAC" w14:paraId="217E14C2" w14:textId="77777777" w:rsidTr="00DE621D">
        <w:trPr>
          <w:trHeight w:val="215"/>
        </w:trPr>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8C4651"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D3) Ações relacionadas às medidas de prevenção e controle de infecções</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728318"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11 (73,3)                </w:t>
            </w:r>
          </w:p>
        </w:tc>
        <w:tc>
          <w:tcPr>
            <w:tcW w:w="1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1BF853"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4 (27,0)                      </w:t>
            </w:r>
          </w:p>
        </w:tc>
        <w:tc>
          <w:tcPr>
            <w:tcW w:w="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12625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0,27</w:t>
            </w:r>
          </w:p>
        </w:tc>
        <w:tc>
          <w:tcPr>
            <w:tcW w:w="900" w:type="dxa"/>
            <w:vMerge/>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01547E4E"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2E6145" w:rsidRPr="00134AAC" w14:paraId="7BC4E749" w14:textId="77777777" w:rsidTr="00DE621D">
        <w:trPr>
          <w:trHeight w:val="215"/>
        </w:trPr>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EF2693"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D4) Ações para o gerenciamento do uso de ATM</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A7C168"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9 (60)                   </w:t>
            </w:r>
          </w:p>
        </w:tc>
        <w:tc>
          <w:tcPr>
            <w:tcW w:w="1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B3BFDF"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6 (40)                       </w:t>
            </w:r>
          </w:p>
        </w:tc>
        <w:tc>
          <w:tcPr>
            <w:tcW w:w="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D4A90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0,40</w:t>
            </w:r>
          </w:p>
        </w:tc>
        <w:tc>
          <w:tcPr>
            <w:tcW w:w="900" w:type="dxa"/>
            <w:vMerge/>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3A6625CC"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2E6145" w:rsidRPr="00134AAC" w14:paraId="7D00A14A" w14:textId="77777777" w:rsidTr="00DE621D">
        <w:trPr>
          <w:trHeight w:val="215"/>
        </w:trPr>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E9D61A"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D5) Educação em saúde sobre as medidas de prevenção e controle de infecções</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C78394"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 (6,7)                  </w:t>
            </w:r>
          </w:p>
        </w:tc>
        <w:tc>
          <w:tcPr>
            <w:tcW w:w="1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0FA054"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14 (93,3)                    </w:t>
            </w:r>
          </w:p>
        </w:tc>
        <w:tc>
          <w:tcPr>
            <w:tcW w:w="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868F01"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0,93</w:t>
            </w:r>
          </w:p>
        </w:tc>
        <w:tc>
          <w:tcPr>
            <w:tcW w:w="900" w:type="dxa"/>
            <w:vMerge/>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6C29070E"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2E6145" w:rsidRPr="00134AAC" w14:paraId="4C9A4792" w14:textId="77777777" w:rsidTr="00DE621D">
        <w:trPr>
          <w:trHeight w:val="215"/>
        </w:trPr>
        <w:tc>
          <w:tcPr>
            <w:tcW w:w="38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C3881CE"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D6) Educação em saúde com enfoque no gerenciamento do uso de ATM</w:t>
            </w:r>
          </w:p>
        </w:tc>
        <w:tc>
          <w:tcPr>
            <w:tcW w:w="18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ED8814B"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 (6,7)                  </w:t>
            </w:r>
          </w:p>
        </w:tc>
        <w:tc>
          <w:tcPr>
            <w:tcW w:w="130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2E502B3"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14 (93,3)                  </w:t>
            </w:r>
          </w:p>
        </w:tc>
        <w:tc>
          <w:tcPr>
            <w:tcW w:w="70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6A54871"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0,93</w:t>
            </w:r>
          </w:p>
        </w:tc>
        <w:tc>
          <w:tcPr>
            <w:tcW w:w="900" w:type="dxa"/>
            <w:vMerge/>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3DD918D4" w14:textId="77777777" w:rsidR="002E6145" w:rsidRPr="00134AAC" w:rsidRDefault="002E6145">
            <w:pPr>
              <w:widowControl w:val="0"/>
              <w:pBdr>
                <w:top w:val="nil"/>
                <w:left w:val="nil"/>
                <w:bottom w:val="nil"/>
                <w:right w:val="nil"/>
                <w:between w:val="nil"/>
              </w:pBdr>
              <w:spacing w:after="0"/>
              <w:rPr>
                <w:rFonts w:ascii="Times New Roman" w:eastAsia="Times New Roman" w:hAnsi="Times New Roman" w:cs="Times New Roman"/>
                <w:sz w:val="20"/>
                <w:szCs w:val="20"/>
              </w:rPr>
            </w:pPr>
          </w:p>
        </w:tc>
      </w:tr>
    </w:tbl>
    <w:p w14:paraId="55B87B9D" w14:textId="77777777" w:rsidR="002E6145" w:rsidRPr="00134AAC" w:rsidRDefault="00B06470">
      <w:pPr>
        <w:spacing w:after="0" w:line="36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Fonte: Elaborada pelos autores, 2024.</w:t>
      </w:r>
    </w:p>
    <w:p w14:paraId="216B0C21" w14:textId="4F25E430" w:rsidR="002E6145" w:rsidRPr="00134AAC" w:rsidRDefault="00B06470">
      <w:pPr>
        <w:pStyle w:val="Ttulo2"/>
        <w:ind w:firstLine="851"/>
      </w:pPr>
      <w:bookmarkStart w:id="7" w:name="_heading=h.1t3h5sf" w:colFirst="0" w:colLast="0"/>
      <w:bookmarkEnd w:id="7"/>
      <w:r w:rsidRPr="00134AAC">
        <w:t xml:space="preserve">Etapa 4 - </w:t>
      </w:r>
      <w:r w:rsidR="00863672" w:rsidRPr="00134AAC">
        <w:t>f</w:t>
      </w:r>
      <w:r w:rsidRPr="00134AAC">
        <w:t xml:space="preserve">inalização do </w:t>
      </w:r>
      <w:r w:rsidR="00863672" w:rsidRPr="00134AAC">
        <w:t>q</w:t>
      </w:r>
      <w:r w:rsidRPr="00134AAC">
        <w:t xml:space="preserve">uestionário: conduziu-se uma comparação entre as versões iniciais e finais do documento. </w:t>
      </w:r>
      <w:r w:rsidR="00863672" w:rsidRPr="00134AAC">
        <w:t>O</w:t>
      </w:r>
      <w:r w:rsidRPr="00134AAC">
        <w:t>bserv</w:t>
      </w:r>
      <w:r w:rsidR="00863672" w:rsidRPr="00134AAC">
        <w:t>ou-se</w:t>
      </w:r>
      <w:r w:rsidRPr="00134AAC">
        <w:t xml:space="preserve"> uma redução significativa no número de perguntas, passando de um total de 135 na primeira versão para 102 na versão final.</w:t>
      </w:r>
    </w:p>
    <w:p w14:paraId="22BD1C84"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sz w:val="24"/>
          <w:szCs w:val="24"/>
        </w:rPr>
      </w:pPr>
      <w:r w:rsidRPr="00134AAC">
        <w:rPr>
          <w:rFonts w:ascii="Times New Roman" w:eastAsia="Times New Roman" w:hAnsi="Times New Roman" w:cs="Times New Roman"/>
          <w:b/>
          <w:sz w:val="20"/>
          <w:szCs w:val="20"/>
        </w:rPr>
        <w:t>Tabela 4.</w:t>
      </w:r>
      <w:r w:rsidRPr="00134AAC">
        <w:rPr>
          <w:rFonts w:ascii="Times New Roman" w:eastAsia="Times New Roman" w:hAnsi="Times New Roman" w:cs="Times New Roman"/>
          <w:sz w:val="20"/>
          <w:szCs w:val="20"/>
        </w:rPr>
        <w:t xml:space="preserve"> Comparação do questionário entre a fase pré e pós validação dos especialistas</w:t>
      </w:r>
    </w:p>
    <w:tbl>
      <w:tblPr>
        <w:tblStyle w:val="aa"/>
        <w:tblW w:w="86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1860"/>
        <w:gridCol w:w="1905"/>
        <w:gridCol w:w="2355"/>
      </w:tblGrid>
      <w:tr w:rsidR="002E6145" w:rsidRPr="00134AAC" w14:paraId="19E35B9C" w14:textId="77777777" w:rsidTr="00DE621D">
        <w:trPr>
          <w:trHeight w:val="215"/>
        </w:trPr>
        <w:tc>
          <w:tcPr>
            <w:tcW w:w="2535" w:type="dxa"/>
            <w:tcBorders>
              <w:left w:val="single" w:sz="8" w:space="0" w:color="FFFFFF"/>
              <w:right w:val="single" w:sz="8" w:space="0" w:color="FFFFFF"/>
            </w:tcBorders>
            <w:shd w:val="clear" w:color="auto" w:fill="auto"/>
            <w:tcMar>
              <w:top w:w="100" w:type="dxa"/>
              <w:left w:w="100" w:type="dxa"/>
              <w:bottom w:w="100" w:type="dxa"/>
              <w:right w:w="100" w:type="dxa"/>
            </w:tcMar>
          </w:tcPr>
          <w:p w14:paraId="4BFBB537"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1263E0D7"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Domínio</w:t>
            </w:r>
          </w:p>
        </w:tc>
        <w:tc>
          <w:tcPr>
            <w:tcW w:w="1860" w:type="dxa"/>
            <w:tcBorders>
              <w:left w:val="single" w:sz="8" w:space="0" w:color="FFFFFF"/>
              <w:right w:val="single" w:sz="8" w:space="0" w:color="FFFFFF"/>
            </w:tcBorders>
            <w:shd w:val="clear" w:color="auto" w:fill="auto"/>
            <w:tcMar>
              <w:top w:w="100" w:type="dxa"/>
              <w:left w:w="100" w:type="dxa"/>
              <w:bottom w:w="100" w:type="dxa"/>
              <w:right w:w="100" w:type="dxa"/>
            </w:tcMar>
          </w:tcPr>
          <w:p w14:paraId="1CB55420"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Fase Pré - Validação</w:t>
            </w:r>
          </w:p>
          <w:p w14:paraId="7369160E"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N° de Questões</w:t>
            </w:r>
          </w:p>
        </w:tc>
        <w:tc>
          <w:tcPr>
            <w:tcW w:w="1905" w:type="dxa"/>
            <w:tcBorders>
              <w:left w:val="single" w:sz="8" w:space="0" w:color="FFFFFF"/>
              <w:right w:val="single" w:sz="8" w:space="0" w:color="FFFFFF"/>
            </w:tcBorders>
            <w:shd w:val="clear" w:color="auto" w:fill="auto"/>
            <w:tcMar>
              <w:top w:w="100" w:type="dxa"/>
              <w:left w:w="100" w:type="dxa"/>
              <w:bottom w:w="100" w:type="dxa"/>
              <w:right w:w="100" w:type="dxa"/>
            </w:tcMar>
          </w:tcPr>
          <w:p w14:paraId="21800D66"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Fase Pós - Validação</w:t>
            </w:r>
          </w:p>
          <w:p w14:paraId="488ED4B3"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N° de Questões</w:t>
            </w:r>
          </w:p>
        </w:tc>
        <w:tc>
          <w:tcPr>
            <w:tcW w:w="2355" w:type="dxa"/>
            <w:tcBorders>
              <w:left w:val="single" w:sz="8" w:space="0" w:color="FFFFFF"/>
              <w:right w:val="single" w:sz="8" w:space="0" w:color="FFFFFF"/>
            </w:tcBorders>
            <w:shd w:val="clear" w:color="auto" w:fill="auto"/>
            <w:tcMar>
              <w:top w:w="100" w:type="dxa"/>
              <w:left w:w="100" w:type="dxa"/>
              <w:bottom w:w="100" w:type="dxa"/>
              <w:right w:w="100" w:type="dxa"/>
            </w:tcMar>
          </w:tcPr>
          <w:p w14:paraId="2A82BE48"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74CA8F2B"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Parecer geral</w:t>
            </w:r>
          </w:p>
        </w:tc>
      </w:tr>
      <w:tr w:rsidR="002E6145" w:rsidRPr="00134AAC" w14:paraId="24331ADB" w14:textId="77777777" w:rsidTr="00DE621D">
        <w:trPr>
          <w:trHeight w:val="215"/>
        </w:trPr>
        <w:tc>
          <w:tcPr>
            <w:tcW w:w="25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3E343B"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D1) Perfil do serviço de saúde</w:t>
            </w:r>
          </w:p>
        </w:tc>
        <w:tc>
          <w:tcPr>
            <w:tcW w:w="18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669CF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8</w:t>
            </w:r>
          </w:p>
        </w:tc>
        <w:tc>
          <w:tcPr>
            <w:tcW w:w="190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A182C7"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5</w:t>
            </w:r>
          </w:p>
        </w:tc>
        <w:tc>
          <w:tcPr>
            <w:tcW w:w="23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230992"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Exclusão de 3 questões</w:t>
            </w:r>
          </w:p>
        </w:tc>
      </w:tr>
      <w:tr w:rsidR="002E6145" w:rsidRPr="00134AAC" w14:paraId="30382AB3" w14:textId="77777777" w:rsidTr="00DE621D">
        <w:trPr>
          <w:trHeight w:val="215"/>
        </w:trPr>
        <w:tc>
          <w:tcPr>
            <w:tcW w:w="2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99FDDA"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D2) Perfil clínico-epidemiológico</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AC7A2C"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5</w:t>
            </w:r>
          </w:p>
        </w:tc>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D7CBF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3</w:t>
            </w:r>
          </w:p>
        </w:tc>
        <w:tc>
          <w:tcPr>
            <w:tcW w:w="23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B9993B"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Exclusão de 2 questões</w:t>
            </w:r>
          </w:p>
        </w:tc>
      </w:tr>
      <w:tr w:rsidR="002E6145" w:rsidRPr="00134AAC" w14:paraId="67EBF3D3" w14:textId="77777777" w:rsidTr="00DE621D">
        <w:trPr>
          <w:trHeight w:val="215"/>
        </w:trPr>
        <w:tc>
          <w:tcPr>
            <w:tcW w:w="2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CAECB1" w14:textId="77777777" w:rsidR="002E6145" w:rsidRPr="00134AAC" w:rsidRDefault="00B06470">
            <w:pPr>
              <w:widowControl w:val="0"/>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D3) Ações relacionadas às medidas de prevenção e controle de infecções</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E73013"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342C006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77</w:t>
            </w:r>
          </w:p>
        </w:tc>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191FEE"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39EAA821"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57</w:t>
            </w:r>
          </w:p>
        </w:tc>
        <w:tc>
          <w:tcPr>
            <w:tcW w:w="23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40DC71" w14:textId="77777777" w:rsidR="002E6145" w:rsidRPr="00134AAC" w:rsidRDefault="002E6145">
            <w:pPr>
              <w:widowControl w:val="0"/>
              <w:spacing w:after="0" w:line="240" w:lineRule="auto"/>
              <w:jc w:val="center"/>
              <w:rPr>
                <w:rFonts w:ascii="Times New Roman" w:eastAsia="Times New Roman" w:hAnsi="Times New Roman" w:cs="Times New Roman"/>
                <w:sz w:val="20"/>
                <w:szCs w:val="20"/>
              </w:rPr>
            </w:pPr>
          </w:p>
          <w:p w14:paraId="2555CED1"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Exclusão de 20 questões</w:t>
            </w:r>
          </w:p>
        </w:tc>
      </w:tr>
      <w:tr w:rsidR="002E6145" w:rsidRPr="00134AAC" w14:paraId="4110EAEF" w14:textId="77777777" w:rsidTr="00DE621D">
        <w:trPr>
          <w:trHeight w:val="215"/>
        </w:trPr>
        <w:tc>
          <w:tcPr>
            <w:tcW w:w="2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F5E5EE" w14:textId="77777777" w:rsidR="002E6145" w:rsidRPr="00134AAC" w:rsidRDefault="00B06470">
            <w:pPr>
              <w:widowControl w:val="0"/>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D4) Ações para o gerenciamento do uso de ATM</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82B41A"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28</w:t>
            </w:r>
          </w:p>
        </w:tc>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441EB6"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20</w:t>
            </w:r>
          </w:p>
        </w:tc>
        <w:tc>
          <w:tcPr>
            <w:tcW w:w="23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5B2115"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Exclusão de 8 questões</w:t>
            </w:r>
          </w:p>
        </w:tc>
      </w:tr>
      <w:tr w:rsidR="002E6145" w:rsidRPr="00134AAC" w14:paraId="7794A7FD" w14:textId="77777777" w:rsidTr="00DE621D">
        <w:trPr>
          <w:trHeight w:val="215"/>
        </w:trPr>
        <w:tc>
          <w:tcPr>
            <w:tcW w:w="2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11B787" w14:textId="77777777" w:rsidR="002E6145" w:rsidRPr="00134AAC" w:rsidRDefault="00B06470">
            <w:pPr>
              <w:widowControl w:val="0"/>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D5) Educação em saúde sobre as medidas de prevenção e controle de infecções</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BA94AD"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8</w:t>
            </w:r>
          </w:p>
        </w:tc>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E69A80"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8</w:t>
            </w:r>
          </w:p>
        </w:tc>
        <w:tc>
          <w:tcPr>
            <w:tcW w:w="23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C1D853"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Mantido</w:t>
            </w:r>
          </w:p>
        </w:tc>
      </w:tr>
      <w:tr w:rsidR="002E6145" w:rsidRPr="00134AAC" w14:paraId="09DDB4D3" w14:textId="77777777" w:rsidTr="00DE621D">
        <w:trPr>
          <w:trHeight w:val="215"/>
        </w:trPr>
        <w:tc>
          <w:tcPr>
            <w:tcW w:w="25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CFD8BD3" w14:textId="77777777" w:rsidR="002E6145" w:rsidRPr="00134AAC" w:rsidRDefault="00B06470">
            <w:pPr>
              <w:widowControl w:val="0"/>
              <w:spacing w:after="0" w:line="240" w:lineRule="auto"/>
              <w:rPr>
                <w:rFonts w:ascii="Times New Roman" w:eastAsia="Times New Roman" w:hAnsi="Times New Roman" w:cs="Times New Roman"/>
                <w:b/>
                <w:sz w:val="20"/>
                <w:szCs w:val="20"/>
              </w:rPr>
            </w:pPr>
            <w:r w:rsidRPr="00134AAC">
              <w:rPr>
                <w:rFonts w:ascii="Times New Roman" w:eastAsia="Times New Roman" w:hAnsi="Times New Roman" w:cs="Times New Roman"/>
                <w:b/>
                <w:sz w:val="20"/>
                <w:szCs w:val="20"/>
              </w:rPr>
              <w:t>D6) Educação em saúde com enfoque no gerenciamento do uso de ATM</w:t>
            </w:r>
          </w:p>
        </w:tc>
        <w:tc>
          <w:tcPr>
            <w:tcW w:w="18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5E9DB51"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9</w:t>
            </w:r>
          </w:p>
        </w:tc>
        <w:tc>
          <w:tcPr>
            <w:tcW w:w="190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78F9F13"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9</w:t>
            </w:r>
          </w:p>
        </w:tc>
        <w:tc>
          <w:tcPr>
            <w:tcW w:w="23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BD65DEB" w14:textId="77777777" w:rsidR="002E6145" w:rsidRPr="00134AAC" w:rsidRDefault="00B06470">
            <w:pPr>
              <w:widowControl w:val="0"/>
              <w:spacing w:after="0" w:line="240" w:lineRule="auto"/>
              <w:jc w:val="center"/>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 xml:space="preserve">Mantido </w:t>
            </w:r>
          </w:p>
        </w:tc>
      </w:tr>
    </w:tbl>
    <w:p w14:paraId="196EBBD3" w14:textId="77777777" w:rsidR="002E6145" w:rsidRPr="00134AAC" w:rsidRDefault="00B06470">
      <w:pPr>
        <w:spacing w:after="0" w:line="360" w:lineRule="auto"/>
        <w:jc w:val="both"/>
        <w:rPr>
          <w:rFonts w:ascii="Times New Roman" w:eastAsia="Times New Roman" w:hAnsi="Times New Roman" w:cs="Times New Roman"/>
          <w:sz w:val="20"/>
          <w:szCs w:val="20"/>
        </w:rPr>
      </w:pPr>
      <w:r w:rsidRPr="00134AAC">
        <w:rPr>
          <w:rFonts w:ascii="Times New Roman" w:eastAsia="Times New Roman" w:hAnsi="Times New Roman" w:cs="Times New Roman"/>
          <w:sz w:val="20"/>
          <w:szCs w:val="20"/>
        </w:rPr>
        <w:t>Fonte: Elaborada pelos autores, 2024.</w:t>
      </w:r>
    </w:p>
    <w:p w14:paraId="482857D5" w14:textId="24240355"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 xml:space="preserve">O tempo médio de preenchimento de um questionário é um aspecto crucial a </w:t>
      </w:r>
      <w:r w:rsidR="00863672" w:rsidRPr="00134AAC">
        <w:rPr>
          <w:rFonts w:ascii="Times New Roman" w:eastAsia="Times New Roman" w:hAnsi="Times New Roman" w:cs="Times New Roman"/>
          <w:sz w:val="24"/>
          <w:szCs w:val="24"/>
        </w:rPr>
        <w:t xml:space="preserve">se </w:t>
      </w:r>
      <w:r w:rsidRPr="00134AAC">
        <w:rPr>
          <w:rFonts w:ascii="Times New Roman" w:eastAsia="Times New Roman" w:hAnsi="Times New Roman" w:cs="Times New Roman"/>
          <w:sz w:val="24"/>
          <w:szCs w:val="24"/>
        </w:rPr>
        <w:t xml:space="preserve">considerar na sua concepção e aplicação. </w:t>
      </w:r>
      <w:r w:rsidR="00863672" w:rsidRPr="00134AAC">
        <w:rPr>
          <w:rFonts w:ascii="Times New Roman" w:eastAsia="Times New Roman" w:hAnsi="Times New Roman" w:cs="Times New Roman"/>
          <w:sz w:val="24"/>
          <w:szCs w:val="24"/>
        </w:rPr>
        <w:t xml:space="preserve">Tal </w:t>
      </w:r>
      <w:r w:rsidRPr="00134AAC">
        <w:rPr>
          <w:rFonts w:ascii="Times New Roman" w:eastAsia="Times New Roman" w:hAnsi="Times New Roman" w:cs="Times New Roman"/>
          <w:sz w:val="24"/>
          <w:szCs w:val="24"/>
        </w:rPr>
        <w:t xml:space="preserve">métrica não apenas afeta a experiência do respondente, mas também influencia a qualidade e a integridade das respostas. Autores afirmam que o questionário é uma ferramenta valiosa para coleta de dados em pesquisa, </w:t>
      </w:r>
      <w:r w:rsidRPr="00134AAC">
        <w:rPr>
          <w:rFonts w:ascii="Times New Roman" w:eastAsia="Times New Roman" w:hAnsi="Times New Roman" w:cs="Times New Roman"/>
          <w:sz w:val="24"/>
          <w:szCs w:val="24"/>
        </w:rPr>
        <w:lastRenderedPageBreak/>
        <w:t>pela economia de tempo, praticidade, precisão na obtenção de respostas, padronização, uniformidade e maior abertura dos participantes</w:t>
      </w:r>
      <w:r w:rsidRPr="00134AAC">
        <w:rPr>
          <w:rFonts w:ascii="Times New Roman" w:eastAsia="Times New Roman" w:hAnsi="Times New Roman" w:cs="Times New Roman"/>
          <w:sz w:val="24"/>
          <w:szCs w:val="24"/>
          <w:vertAlign w:val="superscript"/>
        </w:rPr>
        <w:t>11</w:t>
      </w:r>
      <w:r w:rsidR="00863672" w:rsidRPr="00134AAC">
        <w:rPr>
          <w:rFonts w:ascii="Times New Roman" w:eastAsia="Times New Roman" w:hAnsi="Times New Roman" w:cs="Times New Roman"/>
          <w:sz w:val="24"/>
          <w:szCs w:val="24"/>
        </w:rPr>
        <w:t>.</w:t>
      </w:r>
      <w:r w:rsidRPr="00134AAC">
        <w:rPr>
          <w:rFonts w:ascii="Times New Roman" w:eastAsia="Times New Roman" w:hAnsi="Times New Roman" w:cs="Times New Roman"/>
          <w:sz w:val="24"/>
          <w:szCs w:val="24"/>
        </w:rPr>
        <w:t xml:space="preserve"> Nesse contexto, é essencial compreender o tempo estimado necessário para completar o questionário, garantindo</w:t>
      </w:r>
      <w:r w:rsidR="00863672" w:rsidRPr="00134AAC">
        <w:rPr>
          <w:rFonts w:ascii="Times New Roman" w:eastAsia="Times New Roman" w:hAnsi="Times New Roman" w:cs="Times New Roman"/>
          <w:sz w:val="24"/>
          <w:szCs w:val="24"/>
        </w:rPr>
        <w:t>,</w:t>
      </w:r>
      <w:r w:rsidRPr="00134AAC">
        <w:rPr>
          <w:rFonts w:ascii="Times New Roman" w:eastAsia="Times New Roman" w:hAnsi="Times New Roman" w:cs="Times New Roman"/>
          <w:sz w:val="24"/>
          <w:szCs w:val="24"/>
        </w:rPr>
        <w:t xml:space="preserve"> assim</w:t>
      </w:r>
      <w:r w:rsidR="00863672" w:rsidRPr="00134AAC">
        <w:rPr>
          <w:rFonts w:ascii="Times New Roman" w:eastAsia="Times New Roman" w:hAnsi="Times New Roman" w:cs="Times New Roman"/>
          <w:sz w:val="24"/>
          <w:szCs w:val="24"/>
        </w:rPr>
        <w:t>,</w:t>
      </w:r>
      <w:r w:rsidRPr="00134AAC">
        <w:rPr>
          <w:rFonts w:ascii="Times New Roman" w:eastAsia="Times New Roman" w:hAnsi="Times New Roman" w:cs="Times New Roman"/>
          <w:sz w:val="24"/>
          <w:szCs w:val="24"/>
        </w:rPr>
        <w:t xml:space="preserve"> a participação ativa dos respondentes e a precisão dos dados coletados. Na atual pesquisa a média de tempo para preenchimento do questionário durou aproximadamente 20 minutos. </w:t>
      </w:r>
    </w:p>
    <w:p w14:paraId="4EBE5979" w14:textId="63C207D0" w:rsidR="002E6145" w:rsidRPr="00134AAC" w:rsidRDefault="00B06470">
      <w:pPr>
        <w:pStyle w:val="Ttulo2"/>
        <w:spacing w:after="240" w:line="360" w:lineRule="auto"/>
        <w:ind w:firstLine="851"/>
      </w:pPr>
      <w:bookmarkStart w:id="8" w:name="_heading=h.4d34og8" w:colFirst="0" w:colLast="0"/>
      <w:bookmarkEnd w:id="8"/>
      <w:r w:rsidRPr="00134AAC">
        <w:t xml:space="preserve">Etapa 5 - </w:t>
      </w:r>
      <w:r w:rsidR="00863672" w:rsidRPr="00134AAC">
        <w:t>d</w:t>
      </w:r>
      <w:r w:rsidRPr="00134AAC">
        <w:t>isseminação do questionário: ocorreu através do envio de link e</w:t>
      </w:r>
      <w:r w:rsidR="000B3E9F" w:rsidRPr="00134AAC">
        <w:t>,</w:t>
      </w:r>
      <w:r w:rsidRPr="00134AAC">
        <w:t xml:space="preserve"> também</w:t>
      </w:r>
      <w:r w:rsidR="000B3E9F" w:rsidRPr="00134AAC">
        <w:t>,</w:t>
      </w:r>
      <w:r w:rsidRPr="00134AAC">
        <w:t xml:space="preserve"> de uma carta contendo as orientações sobre o preenchimento</w:t>
      </w:r>
      <w:r w:rsidR="000B3E9F" w:rsidRPr="00134AAC">
        <w:t>, direcionada</w:t>
      </w:r>
      <w:r w:rsidRPr="00134AAC">
        <w:t xml:space="preserve"> </w:t>
      </w:r>
      <w:r w:rsidR="000B3E9F" w:rsidRPr="00134AAC">
        <w:t>a</w:t>
      </w:r>
      <w:r w:rsidRPr="00134AAC">
        <w:t>os e-mails das Secretarias de Saúde dos Estados, Centros Estaduais de Vigilância em Saúde e Coordenadorias de Saúde. O questionário passou a ser chamado de: “Avaliação nacional das estratégias para o controle de infecções e o gerenciamento do uso de antimicrobianos</w:t>
      </w:r>
      <w:r w:rsidR="000B3E9F" w:rsidRPr="00134AAC">
        <w:t>,</w:t>
      </w:r>
      <w:r w:rsidRPr="00134AAC">
        <w:t xml:space="preserve"> na Atenção Primária à Saúde”</w:t>
      </w:r>
      <w:r w:rsidR="000B3E9F" w:rsidRPr="00134AAC">
        <w:t xml:space="preserve"> e</w:t>
      </w:r>
      <w:r w:rsidRPr="00134AAC">
        <w:t xml:space="preserve"> poderá ser acessado na íntegra através de dados suplementares.</w:t>
      </w:r>
    </w:p>
    <w:p w14:paraId="777B61A7" w14:textId="77777777" w:rsidR="002E6145" w:rsidRPr="00134AAC" w:rsidRDefault="00B06470">
      <w:pPr>
        <w:pStyle w:val="Ttulo1"/>
        <w:jc w:val="both"/>
      </w:pPr>
      <w:bookmarkStart w:id="9" w:name="_heading=h.2s8eyo1" w:colFirst="0" w:colLast="0"/>
      <w:bookmarkEnd w:id="9"/>
      <w:r w:rsidRPr="00134AAC">
        <w:t>DISCUSSÃO</w:t>
      </w:r>
    </w:p>
    <w:p w14:paraId="535E36AF" w14:textId="77777777"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Conforme a avaliação dos especialistas, aprimorar a formulação de perguntas é essencial para a qualidade e eficácia dos questionários. Excluir perguntas subjetivas e garantir objetividade eliminam opiniões pessoais, tornando o questionário mais confiável e imparcial. Além disso, simplificar as perguntas facilita a compreensão e aumenta a precisão das respostas. Alterar termos evita ambiguidades e melhora a interpretação, enquanto reorganizar a ordem das perguntas influencia positivamente a percepção e a resposta dos participantes, organizando o questionário de maneira lógica e fluida.</w:t>
      </w:r>
    </w:p>
    <w:p w14:paraId="6064AA85" w14:textId="25B29965"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Essa ênfase nos ajustes é fundamental, pois questionários bem elaborados são uma técnica de pesquisa eficaz, consistindo em um conjunto específico de perguntas apresentadas por escrito a um grupo de indivíduos, com o intuito de obter informações sobre suas opiniões. Essa abordagem oferece várias vantagens, incluindo a capacidade de alcançar um grande número de participantes, mesmo em áreas geograficamente distantes, </w:t>
      </w:r>
      <w:r w:rsidR="000B3E9F" w:rsidRPr="00134AAC">
        <w:rPr>
          <w:rFonts w:ascii="Times New Roman" w:eastAsia="Times New Roman" w:hAnsi="Times New Roman" w:cs="Times New Roman"/>
          <w:color w:val="000000"/>
          <w:sz w:val="24"/>
          <w:szCs w:val="24"/>
        </w:rPr>
        <w:t xml:space="preserve">bem como viabiliza </w:t>
      </w:r>
      <w:r w:rsidRPr="00134AAC">
        <w:rPr>
          <w:rFonts w:ascii="Times New Roman" w:eastAsia="Times New Roman" w:hAnsi="Times New Roman" w:cs="Times New Roman"/>
          <w:color w:val="000000"/>
          <w:sz w:val="24"/>
          <w:szCs w:val="24"/>
        </w:rPr>
        <w:t>a flexibilidade de responder às perguntas conforme a conveniência</w:t>
      </w:r>
      <w:r w:rsidR="00CF2529" w:rsidRPr="00134AAC">
        <w:rPr>
          <w:rFonts w:ascii="Times New Roman" w:eastAsia="Times New Roman" w:hAnsi="Times New Roman" w:cs="Times New Roman"/>
          <w:color w:val="000000"/>
          <w:sz w:val="24"/>
          <w:szCs w:val="24"/>
        </w:rPr>
        <w:t xml:space="preserve">, minimizando </w:t>
      </w:r>
      <w:r w:rsidRPr="00134AAC">
        <w:rPr>
          <w:rFonts w:ascii="Times New Roman" w:eastAsia="Times New Roman" w:hAnsi="Times New Roman" w:cs="Times New Roman"/>
          <w:color w:val="000000"/>
          <w:sz w:val="24"/>
          <w:szCs w:val="24"/>
        </w:rPr>
        <w:t>a influência do entrevistador sobre as respostas dos pesquisados.</w:t>
      </w:r>
    </w:p>
    <w:p w14:paraId="10EE8D15" w14:textId="347E9BA0"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 No entanto, os questionários podem gerar resultados inesperados devido às diferentes interpretações que os respondentes podem ter sobre os itens. Além disso, a extensão excessiva do questionário pode resultar em uma baixa taxa de resposta</w:t>
      </w:r>
      <w:r w:rsidRPr="00134AAC">
        <w:rPr>
          <w:rFonts w:ascii="Times New Roman" w:eastAsia="Times New Roman" w:hAnsi="Times New Roman" w:cs="Times New Roman"/>
          <w:color w:val="000000"/>
          <w:sz w:val="24"/>
          <w:szCs w:val="24"/>
          <w:vertAlign w:val="superscript"/>
        </w:rPr>
        <w:t>12</w:t>
      </w:r>
      <w:r w:rsidR="00CF2529"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Dado o vasto território brasileiro, a utilização de questionários online possibilita atingir uma </w:t>
      </w:r>
      <w:r w:rsidRPr="00134AAC">
        <w:rPr>
          <w:rFonts w:ascii="Times New Roman" w:eastAsia="Times New Roman" w:hAnsi="Times New Roman" w:cs="Times New Roman"/>
          <w:color w:val="000000"/>
          <w:sz w:val="24"/>
          <w:szCs w:val="24"/>
        </w:rPr>
        <w:lastRenderedPageBreak/>
        <w:t>ampla variedade de profissionais de saúde em diferentes localidades do país. Isso assegura uma amostragem mais abrangente e representativa, ao mesmo tempo que elimina a necessidade de impressão, distribuição física e coleta manual de questionários, resultando em uma redução significativa dos custos associados à pesquisa</w:t>
      </w:r>
      <w:r w:rsidRPr="00134AAC">
        <w:rPr>
          <w:rFonts w:ascii="Times New Roman" w:eastAsia="Times New Roman" w:hAnsi="Times New Roman" w:cs="Times New Roman"/>
          <w:color w:val="000000"/>
          <w:sz w:val="24"/>
          <w:szCs w:val="24"/>
          <w:vertAlign w:val="superscript"/>
        </w:rPr>
        <w:t>13</w:t>
      </w:r>
      <w:r w:rsidR="00CF2529" w:rsidRPr="00134AAC">
        <w:rPr>
          <w:rFonts w:ascii="Times New Roman" w:eastAsia="Times New Roman" w:hAnsi="Times New Roman" w:cs="Times New Roman"/>
          <w:color w:val="000000"/>
          <w:sz w:val="24"/>
          <w:szCs w:val="24"/>
        </w:rPr>
        <w:t>.</w:t>
      </w:r>
    </w:p>
    <w:p w14:paraId="2AA70D29" w14:textId="42FA9811"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Um questionário online oferece a conveniência de ser acessado e respondido em qualquer momento e lugar, proporcionando maior flexibilidade e facilitando a participação. Por isso, o desenvolvimento e a validação deste questionário online fo</w:t>
      </w:r>
      <w:r w:rsidR="00956D2A" w:rsidRPr="00134AAC">
        <w:rPr>
          <w:rFonts w:ascii="Times New Roman" w:eastAsia="Times New Roman" w:hAnsi="Times New Roman" w:cs="Times New Roman"/>
          <w:color w:val="000000"/>
          <w:sz w:val="24"/>
          <w:szCs w:val="24"/>
        </w:rPr>
        <w:t xml:space="preserve">ram </w:t>
      </w:r>
      <w:r w:rsidRPr="00134AAC">
        <w:rPr>
          <w:rFonts w:ascii="Times New Roman" w:eastAsia="Times New Roman" w:hAnsi="Times New Roman" w:cs="Times New Roman"/>
          <w:color w:val="000000"/>
          <w:sz w:val="24"/>
          <w:szCs w:val="24"/>
        </w:rPr>
        <w:t>cuidadosamente planejado</w:t>
      </w:r>
      <w:r w:rsidR="00956D2A" w:rsidRPr="00134AAC">
        <w:rPr>
          <w:rFonts w:ascii="Times New Roman" w:eastAsia="Times New Roman" w:hAnsi="Times New Roman" w:cs="Times New Roman"/>
          <w:color w:val="000000"/>
          <w:sz w:val="24"/>
          <w:szCs w:val="24"/>
        </w:rPr>
        <w:t>s</w:t>
      </w:r>
      <w:r w:rsidRPr="00134AAC">
        <w:rPr>
          <w:rFonts w:ascii="Times New Roman" w:eastAsia="Times New Roman" w:hAnsi="Times New Roman" w:cs="Times New Roman"/>
          <w:color w:val="000000"/>
          <w:sz w:val="24"/>
          <w:szCs w:val="24"/>
        </w:rPr>
        <w:t xml:space="preserve"> e executado</w:t>
      </w:r>
      <w:r w:rsidR="00956D2A" w:rsidRPr="00134AAC">
        <w:rPr>
          <w:rFonts w:ascii="Times New Roman" w:eastAsia="Times New Roman" w:hAnsi="Times New Roman" w:cs="Times New Roman"/>
          <w:color w:val="000000"/>
          <w:sz w:val="24"/>
          <w:szCs w:val="24"/>
        </w:rPr>
        <w:t>s</w:t>
      </w:r>
      <w:r w:rsidRPr="00134AAC">
        <w:rPr>
          <w:rFonts w:ascii="Times New Roman" w:eastAsia="Times New Roman" w:hAnsi="Times New Roman" w:cs="Times New Roman"/>
          <w:color w:val="000000"/>
          <w:sz w:val="24"/>
          <w:szCs w:val="24"/>
        </w:rPr>
        <w:t xml:space="preserve"> com base nas evidências e demandas mais recentes sobre aspectos relacionados à prevenção e controle de infecção, visando atender a necessidade de ações voltadas para o uso racional dos ATM e na redução da resistência antimicrobiana na APS. Os profissionais de saúde que atuam na Atenção Primária à Saúde frequentemente lidam com cargas de trabalho intensas. Nesse sentido, é fundamental que as ferramentas disponíveis sejam resolutivas, de qualidade e capazes de proporcionar maior autonomia aos prestadores de saúde. Isso facilitaria o acesso desses profissionais às inovações</w:t>
      </w:r>
      <w:r w:rsidRPr="00134AAC">
        <w:rPr>
          <w:rFonts w:ascii="Times New Roman" w:eastAsia="Times New Roman" w:hAnsi="Times New Roman" w:cs="Times New Roman"/>
          <w:color w:val="000000"/>
          <w:sz w:val="24"/>
          <w:szCs w:val="24"/>
          <w:vertAlign w:val="superscript"/>
        </w:rPr>
        <w:t>14</w:t>
      </w:r>
      <w:r w:rsidR="00956D2A" w:rsidRPr="00134AAC">
        <w:rPr>
          <w:rFonts w:ascii="Times New Roman" w:eastAsia="Times New Roman" w:hAnsi="Times New Roman" w:cs="Times New Roman"/>
          <w:color w:val="000000"/>
          <w:sz w:val="24"/>
          <w:szCs w:val="24"/>
        </w:rPr>
        <w:t>.</w:t>
      </w:r>
    </w:p>
    <w:p w14:paraId="65B0B004" w14:textId="22A8A536"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Os itens de um questionário devem ser elaborados de forma a avaliar os resultados desejados, e suas propriedades psicométricas devem passar por avaliação quanto à validade do construto, consistência interna, confiabilidade, e outros aspectos relevantes. A consistência interna dos itens do instrumento indica o quanto eles se relacionam entre si e representam de maneira similar o construto que o instrumento visa medir. Por outro lado, a confiabilidade é medida pela correlação quadrada entre o escore verdadeiro e o escore observado, refletindo a estabilidade e a precisão das medidas obtidas</w:t>
      </w:r>
      <w:r w:rsidRPr="00134AAC">
        <w:rPr>
          <w:rFonts w:ascii="Times New Roman" w:eastAsia="Times New Roman" w:hAnsi="Times New Roman" w:cs="Times New Roman"/>
          <w:color w:val="000000"/>
          <w:sz w:val="24"/>
          <w:szCs w:val="24"/>
          <w:vertAlign w:val="superscript"/>
        </w:rPr>
        <w:t>15</w:t>
      </w:r>
      <w:r w:rsidR="00AC4EBE" w:rsidRPr="00134AAC">
        <w:rPr>
          <w:rFonts w:ascii="Times New Roman" w:eastAsia="Times New Roman" w:hAnsi="Times New Roman" w:cs="Times New Roman"/>
          <w:color w:val="000000"/>
          <w:sz w:val="24"/>
          <w:szCs w:val="24"/>
        </w:rPr>
        <w:t>.</w:t>
      </w:r>
    </w:p>
    <w:p w14:paraId="465D664A" w14:textId="6261AF63" w:rsidR="002E6145" w:rsidRPr="00134AAC" w:rsidRDefault="00B06470">
      <w:pPr>
        <w:spacing w:after="0" w:line="360" w:lineRule="auto"/>
        <w:ind w:firstLine="851"/>
        <w:jc w:val="both"/>
        <w:rPr>
          <w:rFonts w:ascii="Roboto" w:eastAsia="Roboto" w:hAnsi="Roboto" w:cs="Roboto"/>
          <w:color w:val="000000"/>
          <w:sz w:val="24"/>
          <w:szCs w:val="24"/>
        </w:rPr>
      </w:pPr>
      <w:r w:rsidRPr="00134AAC">
        <w:rPr>
          <w:rFonts w:ascii="Times New Roman" w:eastAsia="Times New Roman" w:hAnsi="Times New Roman" w:cs="Times New Roman"/>
          <w:color w:val="000000"/>
          <w:sz w:val="24"/>
          <w:szCs w:val="24"/>
        </w:rPr>
        <w:t xml:space="preserve">A ferramenta de avaliação do programa de administração de antibióticos consiste nos Elementos Principais dos Programas de Administração de Antibióticos Hospitalares. Ela oferece exemplos de implementação desses elementos, destinados a otimizar a prescrição de antibióticos e pode ser aplicada conforme a necessidade ou viabilidade de cada instituição de saúde. A utilização periódica da ferramenta de avaliação fornece dados coletados de forma instantânea </w:t>
      </w:r>
      <w:r w:rsidR="00AC4EBE" w:rsidRPr="00134AAC">
        <w:rPr>
          <w:rFonts w:ascii="Times New Roman" w:eastAsia="Times New Roman" w:hAnsi="Times New Roman" w:cs="Times New Roman"/>
          <w:color w:val="000000"/>
          <w:sz w:val="24"/>
          <w:szCs w:val="24"/>
        </w:rPr>
        <w:t>que</w:t>
      </w:r>
      <w:r w:rsidRPr="00134AAC">
        <w:rPr>
          <w:rFonts w:ascii="Times New Roman" w:eastAsia="Times New Roman" w:hAnsi="Times New Roman" w:cs="Times New Roman"/>
          <w:color w:val="000000"/>
          <w:sz w:val="24"/>
          <w:szCs w:val="24"/>
        </w:rPr>
        <w:t xml:space="preserve"> podem ser compilados e analisados de maneira rápida e eficiente, permitindo documentar a infraestrutura e as atividades do programa em curso</w:t>
      </w:r>
      <w:r w:rsidR="00AC4EBE" w:rsidRPr="00134AAC">
        <w:rPr>
          <w:rFonts w:ascii="Times New Roman" w:eastAsia="Times New Roman" w:hAnsi="Times New Roman" w:cs="Times New Roman"/>
          <w:color w:val="000000"/>
          <w:sz w:val="24"/>
          <w:szCs w:val="24"/>
        </w:rPr>
        <w:t>, assim como</w:t>
      </w:r>
      <w:r w:rsidRPr="00134AAC">
        <w:rPr>
          <w:rFonts w:ascii="Times New Roman" w:eastAsia="Times New Roman" w:hAnsi="Times New Roman" w:cs="Times New Roman"/>
          <w:color w:val="000000"/>
          <w:sz w:val="24"/>
          <w:szCs w:val="24"/>
        </w:rPr>
        <w:t xml:space="preserve"> auxiliar na identificação de áreas passíveis de melhorias. Sugere-se incluir detalhes específicos, como pontos de contato ou diretrizes particulares com datas, na </w:t>
      </w:r>
      <w:r w:rsidRPr="00134AAC">
        <w:rPr>
          <w:rFonts w:ascii="Times New Roman" w:eastAsia="Times New Roman" w:hAnsi="Times New Roman" w:cs="Times New Roman"/>
          <w:color w:val="000000"/>
          <w:sz w:val="24"/>
          <w:szCs w:val="24"/>
        </w:rPr>
        <w:lastRenderedPageBreak/>
        <w:t>coluna de "comentários", a fim de fornecer referências úteis para a equipe responsável pelo manejo de antibióticos</w:t>
      </w:r>
      <w:r w:rsidRPr="00134AAC">
        <w:rPr>
          <w:rFonts w:ascii="Times New Roman" w:eastAsia="Times New Roman" w:hAnsi="Times New Roman" w:cs="Times New Roman"/>
          <w:color w:val="000000"/>
          <w:sz w:val="24"/>
          <w:szCs w:val="24"/>
          <w:vertAlign w:val="superscript"/>
        </w:rPr>
        <w:t>16</w:t>
      </w:r>
      <w:r w:rsidR="00AC4EBE" w:rsidRPr="00134AAC">
        <w:rPr>
          <w:rFonts w:ascii="Times New Roman" w:eastAsia="Times New Roman" w:hAnsi="Times New Roman" w:cs="Times New Roman"/>
          <w:color w:val="000000"/>
          <w:sz w:val="24"/>
          <w:szCs w:val="24"/>
        </w:rPr>
        <w:t>.</w:t>
      </w:r>
      <w:r w:rsidRPr="00134AAC">
        <w:rPr>
          <w:rFonts w:ascii="Times New Roman" w:eastAsia="Times New Roman" w:hAnsi="Times New Roman" w:cs="Times New Roman"/>
          <w:color w:val="000000"/>
          <w:sz w:val="24"/>
          <w:szCs w:val="24"/>
        </w:rPr>
        <w:t xml:space="preserve"> </w:t>
      </w:r>
    </w:p>
    <w:p w14:paraId="082A00C0" w14:textId="589245BA"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A validade de conteúdo é fundamental para garantir que os elementos do instrumento de medição representem de forma adequada o conceito a ser avaliado. Portanto, ao construir um questionário, é essencial abordar todos os aspectos relevantes do fenômeno em questão. Os autores sugerem diretrizes para a validação de conteúdo, como definir o escopo do questionário, envolver especialistas na geração, avaliação e correção do conteúdo, e utilizar análises adicionais para aprimorar o instrumento</w:t>
      </w:r>
      <w:r w:rsidRPr="00134AAC">
        <w:rPr>
          <w:rFonts w:ascii="Times New Roman" w:eastAsia="Times New Roman" w:hAnsi="Times New Roman" w:cs="Times New Roman"/>
          <w:color w:val="000000"/>
          <w:sz w:val="24"/>
          <w:szCs w:val="24"/>
          <w:vertAlign w:val="superscript"/>
        </w:rPr>
        <w:t>17</w:t>
      </w:r>
      <w:r w:rsidR="00AC4EBE" w:rsidRPr="00134AAC">
        <w:rPr>
          <w:rFonts w:ascii="Times New Roman" w:eastAsia="Times New Roman" w:hAnsi="Times New Roman" w:cs="Times New Roman"/>
          <w:color w:val="000000"/>
          <w:sz w:val="24"/>
          <w:szCs w:val="24"/>
        </w:rPr>
        <w:t>.</w:t>
      </w:r>
    </w:p>
    <w:p w14:paraId="4E6B6D63" w14:textId="77777777" w:rsidR="002E6145" w:rsidRPr="00134AAC" w:rsidRDefault="00B06470">
      <w:pPr>
        <w:spacing w:after="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É comumente afirmado que garantir a qualidade dos serviços de saúde em nível global requer uma abordagem uniformemente alta, mantendo padrões consistentes. O primeiro passo para atingir essa uniformidade é compreender os determinantes contextuais e culturais específicos de diferentes países e, a partir disso, desenvolver estratégias para lidar com essas nuances. A tomada de decisão em saúde é um processo intricado, profundamente influenciado pelo contexto, que engloba múltiplos participantes e ações. Essa complexidade é especialmente visível na tomada de decisões relacionadas ao uso de antibióticos, onde diversas prioridades e fatores contextuais influenciam os comportamentos clínicos.</w:t>
      </w:r>
      <w:r w:rsidRPr="00134AAC">
        <w:rPr>
          <w:rFonts w:ascii="Times New Roman" w:eastAsia="Times New Roman" w:hAnsi="Times New Roman" w:cs="Times New Roman"/>
          <w:color w:val="000000"/>
          <w:sz w:val="24"/>
          <w:szCs w:val="24"/>
          <w:vertAlign w:val="superscript"/>
        </w:rPr>
        <w:t>18</w:t>
      </w:r>
    </w:p>
    <w:p w14:paraId="0A504C2E"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A validade de conteúdo é a medida em que o conteúdo de um instrumento de avaliação reflete de forma adequada o construto que está sendo mensurado. Sendo que não há um teste estatístico específico para avaliar a validade de conteúdo, geralmente é empregada uma abordagem qualitativa, que envolve a avaliação por parte de um comitê de especialistas. Posteriormente, pode-se realizar uma abordagem quantitativa utilizando o IVC.</w:t>
      </w:r>
      <w:r w:rsidRPr="00134AAC">
        <w:rPr>
          <w:rFonts w:ascii="Times New Roman" w:eastAsia="Times New Roman" w:hAnsi="Times New Roman" w:cs="Times New Roman"/>
          <w:color w:val="000000"/>
          <w:sz w:val="24"/>
          <w:szCs w:val="24"/>
          <w:vertAlign w:val="superscript"/>
        </w:rPr>
        <w:t>19</w:t>
      </w:r>
      <w:r w:rsidRPr="00134AAC">
        <w:rPr>
          <w:rFonts w:ascii="Times New Roman" w:eastAsia="Times New Roman" w:hAnsi="Times New Roman" w:cs="Times New Roman"/>
          <w:color w:val="000000"/>
          <w:sz w:val="24"/>
          <w:szCs w:val="24"/>
        </w:rPr>
        <w:t xml:space="preserve"> Neste estudo, a validação com um grupo de especialistas foi essencial, gerando valiosos comentários que orientaram a revisão dos questionários, essa etapa serviu para aprimorar as perguntas, garantindo uma maior compreensão.</w:t>
      </w:r>
    </w:p>
    <w:p w14:paraId="458732B0" w14:textId="7E89C576"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 Em relação ao IVC, a pontuação encontrada variou de 0,23 a 1,00, enquanto a média geral foi de 0,74 (dp ± 0,29), em outro estudo</w:t>
      </w:r>
      <w:r w:rsidRPr="00134AAC">
        <w:rPr>
          <w:rFonts w:ascii="Times New Roman" w:eastAsia="Times New Roman" w:hAnsi="Times New Roman" w:cs="Times New Roman"/>
          <w:color w:val="000000"/>
          <w:sz w:val="24"/>
          <w:szCs w:val="24"/>
          <w:vertAlign w:val="superscript"/>
        </w:rPr>
        <w:t>20</w:t>
      </w:r>
      <w:r w:rsidRPr="00134AAC">
        <w:rPr>
          <w:rFonts w:ascii="Times New Roman" w:eastAsia="Times New Roman" w:hAnsi="Times New Roman" w:cs="Times New Roman"/>
          <w:color w:val="000000"/>
          <w:sz w:val="24"/>
          <w:szCs w:val="24"/>
        </w:rPr>
        <w:t xml:space="preserve"> a pontuação feita pelos especialistas variou de 0,777 a 1,00, com média de 0,902 (dp ± 0,076).</w:t>
      </w:r>
    </w:p>
    <w:p w14:paraId="6EB069B1"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Assim, este estudo resultou na criação de uma ferramenta precisa para avaliar a interação entre PCI, ATM e APS, com o objetivo de aprimorar continuamente a qualidade dos serviços de saúde, sugerindo que os instrumentos avaliados neste estudo </w:t>
      </w:r>
      <w:r w:rsidRPr="00134AAC">
        <w:rPr>
          <w:rFonts w:ascii="Times New Roman" w:eastAsia="Times New Roman" w:hAnsi="Times New Roman" w:cs="Times New Roman"/>
          <w:color w:val="000000"/>
          <w:sz w:val="24"/>
          <w:szCs w:val="24"/>
        </w:rPr>
        <w:lastRenderedPageBreak/>
        <w:t>demonstraram uma correspondência mais consistente e forte com o construto que está sendo medido, em comparação com a média geral encontrada.</w:t>
      </w:r>
    </w:p>
    <w:p w14:paraId="00D3B0C1" w14:textId="6C299A18"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As alterações implementadas foram resultado do </w:t>
      </w:r>
      <w:r w:rsidRPr="00134AAC">
        <w:rPr>
          <w:rFonts w:ascii="Times New Roman" w:eastAsia="Times New Roman" w:hAnsi="Times New Roman" w:cs="Times New Roman"/>
          <w:i/>
          <w:color w:val="000000"/>
          <w:sz w:val="24"/>
          <w:szCs w:val="24"/>
        </w:rPr>
        <w:t xml:space="preserve">feedback </w:t>
      </w:r>
      <w:r w:rsidRPr="00134AAC">
        <w:rPr>
          <w:rFonts w:ascii="Times New Roman" w:eastAsia="Times New Roman" w:hAnsi="Times New Roman" w:cs="Times New Roman"/>
          <w:color w:val="000000"/>
          <w:sz w:val="24"/>
          <w:szCs w:val="24"/>
        </w:rPr>
        <w:t xml:space="preserve">recebido, especialmente em relação a perguntas que se mostraram de difícil interpretação. Aprimorar a formulação de perguntas é essencial para a qualidade e eficácia de questionários. </w:t>
      </w:r>
      <w:r w:rsidR="00BE6488" w:rsidRPr="00134AAC">
        <w:rPr>
          <w:rFonts w:ascii="Times New Roman" w:eastAsia="Times New Roman" w:hAnsi="Times New Roman" w:cs="Times New Roman"/>
          <w:color w:val="000000"/>
          <w:sz w:val="24"/>
          <w:szCs w:val="24"/>
        </w:rPr>
        <w:t xml:space="preserve">Nesse sentido, procedeu-se à exclusão de </w:t>
      </w:r>
      <w:r w:rsidRPr="00134AAC">
        <w:rPr>
          <w:rFonts w:ascii="Times New Roman" w:eastAsia="Times New Roman" w:hAnsi="Times New Roman" w:cs="Times New Roman"/>
          <w:color w:val="000000"/>
          <w:sz w:val="24"/>
          <w:szCs w:val="24"/>
        </w:rPr>
        <w:t xml:space="preserve">perguntas subjetivas </w:t>
      </w:r>
      <w:r w:rsidR="00BE6488" w:rsidRPr="00134AAC">
        <w:rPr>
          <w:rFonts w:ascii="Times New Roman" w:eastAsia="Times New Roman" w:hAnsi="Times New Roman" w:cs="Times New Roman"/>
          <w:color w:val="000000"/>
          <w:sz w:val="24"/>
          <w:szCs w:val="24"/>
        </w:rPr>
        <w:t xml:space="preserve">para </w:t>
      </w:r>
      <w:r w:rsidRPr="00134AAC">
        <w:rPr>
          <w:rFonts w:ascii="Times New Roman" w:eastAsia="Times New Roman" w:hAnsi="Times New Roman" w:cs="Times New Roman"/>
          <w:color w:val="000000"/>
          <w:sz w:val="24"/>
          <w:szCs w:val="24"/>
        </w:rPr>
        <w:t>garantir objetividade elimina</w:t>
      </w:r>
      <w:r w:rsidR="00BE6488" w:rsidRPr="00134AAC">
        <w:rPr>
          <w:rFonts w:ascii="Times New Roman" w:eastAsia="Times New Roman" w:hAnsi="Times New Roman" w:cs="Times New Roman"/>
          <w:color w:val="000000"/>
          <w:sz w:val="24"/>
          <w:szCs w:val="24"/>
        </w:rPr>
        <w:t>ndo</w:t>
      </w:r>
      <w:r w:rsidRPr="00134AAC">
        <w:rPr>
          <w:rFonts w:ascii="Times New Roman" w:eastAsia="Times New Roman" w:hAnsi="Times New Roman" w:cs="Times New Roman"/>
          <w:color w:val="000000"/>
          <w:sz w:val="24"/>
          <w:szCs w:val="24"/>
        </w:rPr>
        <w:t xml:space="preserve"> opiniões pessoais, </w:t>
      </w:r>
      <w:r w:rsidR="00BE6488" w:rsidRPr="00134AAC">
        <w:rPr>
          <w:rFonts w:ascii="Times New Roman" w:eastAsia="Times New Roman" w:hAnsi="Times New Roman" w:cs="Times New Roman"/>
          <w:color w:val="000000"/>
          <w:sz w:val="24"/>
          <w:szCs w:val="24"/>
        </w:rPr>
        <w:t xml:space="preserve">de forma a </w:t>
      </w:r>
      <w:r w:rsidRPr="00134AAC">
        <w:rPr>
          <w:rFonts w:ascii="Times New Roman" w:eastAsia="Times New Roman" w:hAnsi="Times New Roman" w:cs="Times New Roman"/>
          <w:color w:val="000000"/>
          <w:sz w:val="24"/>
          <w:szCs w:val="24"/>
        </w:rPr>
        <w:t>torna</w:t>
      </w:r>
      <w:r w:rsidR="00BE6488" w:rsidRPr="00134AAC">
        <w:rPr>
          <w:rFonts w:ascii="Times New Roman" w:eastAsia="Times New Roman" w:hAnsi="Times New Roman" w:cs="Times New Roman"/>
          <w:color w:val="000000"/>
          <w:sz w:val="24"/>
          <w:szCs w:val="24"/>
        </w:rPr>
        <w:t>r</w:t>
      </w:r>
      <w:r w:rsidRPr="00134AAC">
        <w:rPr>
          <w:rFonts w:ascii="Times New Roman" w:eastAsia="Times New Roman" w:hAnsi="Times New Roman" w:cs="Times New Roman"/>
          <w:color w:val="000000"/>
          <w:sz w:val="24"/>
          <w:szCs w:val="24"/>
        </w:rPr>
        <w:t xml:space="preserve"> o questionário mais confiável e imparcial. </w:t>
      </w:r>
      <w:r w:rsidR="00BE6488" w:rsidRPr="00134AAC">
        <w:rPr>
          <w:rFonts w:ascii="Times New Roman" w:eastAsia="Times New Roman" w:hAnsi="Times New Roman" w:cs="Times New Roman"/>
          <w:color w:val="000000"/>
          <w:sz w:val="24"/>
          <w:szCs w:val="24"/>
        </w:rPr>
        <w:t>Também buscou-se s</w:t>
      </w:r>
      <w:r w:rsidRPr="00134AAC">
        <w:rPr>
          <w:rFonts w:ascii="Times New Roman" w:eastAsia="Times New Roman" w:hAnsi="Times New Roman" w:cs="Times New Roman"/>
          <w:color w:val="000000"/>
          <w:sz w:val="24"/>
          <w:szCs w:val="24"/>
        </w:rPr>
        <w:t>implificar as perguntas</w:t>
      </w:r>
      <w:r w:rsidR="00BE6488" w:rsidRPr="00134AAC">
        <w:rPr>
          <w:rFonts w:ascii="Times New Roman" w:eastAsia="Times New Roman" w:hAnsi="Times New Roman" w:cs="Times New Roman"/>
          <w:color w:val="000000"/>
          <w:sz w:val="24"/>
          <w:szCs w:val="24"/>
        </w:rPr>
        <w:t xml:space="preserve"> para</w:t>
      </w:r>
      <w:r w:rsidRPr="00134AAC">
        <w:rPr>
          <w:rFonts w:ascii="Times New Roman" w:eastAsia="Times New Roman" w:hAnsi="Times New Roman" w:cs="Times New Roman"/>
          <w:color w:val="000000"/>
          <w:sz w:val="24"/>
          <w:szCs w:val="24"/>
        </w:rPr>
        <w:t xml:space="preserve"> facilita</w:t>
      </w:r>
      <w:r w:rsidR="00BE6488" w:rsidRPr="00134AAC">
        <w:rPr>
          <w:rFonts w:ascii="Times New Roman" w:eastAsia="Times New Roman" w:hAnsi="Times New Roman" w:cs="Times New Roman"/>
          <w:color w:val="000000"/>
          <w:sz w:val="24"/>
          <w:szCs w:val="24"/>
        </w:rPr>
        <w:t>r</w:t>
      </w:r>
      <w:r w:rsidRPr="00134AAC">
        <w:rPr>
          <w:rFonts w:ascii="Times New Roman" w:eastAsia="Times New Roman" w:hAnsi="Times New Roman" w:cs="Times New Roman"/>
          <w:color w:val="000000"/>
          <w:sz w:val="24"/>
          <w:szCs w:val="24"/>
        </w:rPr>
        <w:t xml:space="preserve"> a compreensão, aumentando a precisão das respostas</w:t>
      </w:r>
      <w:r w:rsidR="00BE6488" w:rsidRPr="00134AAC">
        <w:rPr>
          <w:rFonts w:ascii="Times New Roman" w:eastAsia="Times New Roman" w:hAnsi="Times New Roman" w:cs="Times New Roman"/>
          <w:color w:val="000000"/>
          <w:sz w:val="24"/>
          <w:szCs w:val="24"/>
        </w:rPr>
        <w:t>, a</w:t>
      </w:r>
      <w:r w:rsidRPr="00134AAC">
        <w:rPr>
          <w:rFonts w:ascii="Times New Roman" w:eastAsia="Times New Roman" w:hAnsi="Times New Roman" w:cs="Times New Roman"/>
          <w:color w:val="000000"/>
          <w:sz w:val="24"/>
          <w:szCs w:val="24"/>
        </w:rPr>
        <w:t xml:space="preserve">lterar termos </w:t>
      </w:r>
      <w:r w:rsidR="00BE6488" w:rsidRPr="00134AAC">
        <w:rPr>
          <w:rFonts w:ascii="Times New Roman" w:eastAsia="Times New Roman" w:hAnsi="Times New Roman" w:cs="Times New Roman"/>
          <w:color w:val="000000"/>
          <w:sz w:val="24"/>
          <w:szCs w:val="24"/>
        </w:rPr>
        <w:t xml:space="preserve">de modo a </w:t>
      </w:r>
      <w:r w:rsidRPr="00134AAC">
        <w:rPr>
          <w:rFonts w:ascii="Times New Roman" w:eastAsia="Times New Roman" w:hAnsi="Times New Roman" w:cs="Times New Roman"/>
          <w:color w:val="000000"/>
          <w:sz w:val="24"/>
          <w:szCs w:val="24"/>
        </w:rPr>
        <w:t>evita</w:t>
      </w:r>
      <w:r w:rsidR="00BE6488" w:rsidRPr="00134AAC">
        <w:rPr>
          <w:rFonts w:ascii="Times New Roman" w:eastAsia="Times New Roman" w:hAnsi="Times New Roman" w:cs="Times New Roman"/>
          <w:color w:val="000000"/>
          <w:sz w:val="24"/>
          <w:szCs w:val="24"/>
        </w:rPr>
        <w:t>r</w:t>
      </w:r>
      <w:r w:rsidRPr="00134AAC">
        <w:rPr>
          <w:rFonts w:ascii="Times New Roman" w:eastAsia="Times New Roman" w:hAnsi="Times New Roman" w:cs="Times New Roman"/>
          <w:color w:val="000000"/>
          <w:sz w:val="24"/>
          <w:szCs w:val="24"/>
        </w:rPr>
        <w:t xml:space="preserve"> ambiguidades e melhora</w:t>
      </w:r>
      <w:r w:rsidR="00BE6488" w:rsidRPr="00134AAC">
        <w:rPr>
          <w:rFonts w:ascii="Times New Roman" w:eastAsia="Times New Roman" w:hAnsi="Times New Roman" w:cs="Times New Roman"/>
          <w:color w:val="000000"/>
          <w:sz w:val="24"/>
          <w:szCs w:val="24"/>
        </w:rPr>
        <w:t>r</w:t>
      </w:r>
      <w:r w:rsidRPr="00134AAC">
        <w:rPr>
          <w:rFonts w:ascii="Times New Roman" w:eastAsia="Times New Roman" w:hAnsi="Times New Roman" w:cs="Times New Roman"/>
          <w:color w:val="000000"/>
          <w:sz w:val="24"/>
          <w:szCs w:val="24"/>
        </w:rPr>
        <w:t xml:space="preserve"> a interpretação,</w:t>
      </w:r>
      <w:r w:rsidR="00BE6488" w:rsidRPr="00134AAC">
        <w:rPr>
          <w:rFonts w:ascii="Times New Roman" w:eastAsia="Times New Roman" w:hAnsi="Times New Roman" w:cs="Times New Roman"/>
          <w:color w:val="000000"/>
          <w:sz w:val="24"/>
          <w:szCs w:val="24"/>
        </w:rPr>
        <w:t xml:space="preserve"> assim como</w:t>
      </w:r>
      <w:r w:rsidRPr="00134AAC">
        <w:rPr>
          <w:rFonts w:ascii="Times New Roman" w:eastAsia="Times New Roman" w:hAnsi="Times New Roman" w:cs="Times New Roman"/>
          <w:color w:val="000000"/>
          <w:sz w:val="24"/>
          <w:szCs w:val="24"/>
        </w:rPr>
        <w:t xml:space="preserve"> reorganizar a ordem das perguntas </w:t>
      </w:r>
      <w:r w:rsidR="00BE6488" w:rsidRPr="00134AAC">
        <w:rPr>
          <w:rFonts w:ascii="Times New Roman" w:eastAsia="Times New Roman" w:hAnsi="Times New Roman" w:cs="Times New Roman"/>
          <w:color w:val="000000"/>
          <w:sz w:val="24"/>
          <w:szCs w:val="24"/>
        </w:rPr>
        <w:t xml:space="preserve">como forma de </w:t>
      </w:r>
      <w:r w:rsidRPr="00134AAC">
        <w:rPr>
          <w:rFonts w:ascii="Times New Roman" w:eastAsia="Times New Roman" w:hAnsi="Times New Roman" w:cs="Times New Roman"/>
          <w:color w:val="000000"/>
          <w:sz w:val="24"/>
          <w:szCs w:val="24"/>
        </w:rPr>
        <w:t>influencia</w:t>
      </w:r>
      <w:r w:rsidR="00BE6488" w:rsidRPr="00134AAC">
        <w:rPr>
          <w:rFonts w:ascii="Times New Roman" w:eastAsia="Times New Roman" w:hAnsi="Times New Roman" w:cs="Times New Roman"/>
          <w:color w:val="000000"/>
          <w:sz w:val="24"/>
          <w:szCs w:val="24"/>
        </w:rPr>
        <w:t>r</w:t>
      </w:r>
      <w:r w:rsidRPr="00134AAC">
        <w:rPr>
          <w:rFonts w:ascii="Times New Roman" w:eastAsia="Times New Roman" w:hAnsi="Times New Roman" w:cs="Times New Roman"/>
          <w:color w:val="000000"/>
          <w:sz w:val="24"/>
          <w:szCs w:val="24"/>
        </w:rPr>
        <w:t xml:space="preserve"> positivamente a percepção e resposta dos participantes, organizando o questionário de maneira lógica e fluida.</w:t>
      </w:r>
    </w:p>
    <w:p w14:paraId="54307C8E"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Essas melhorias sugeridas pelos avaliadores demonstram um entendimento profundo da importância de perguntas precisas e objetivas. Garantir clareza na linguagem utilizada e uma sequência lógica nas perguntas promove uma experiência melhor para os respondentes e aumenta a validade dos resultados obtidos. Em resumo, essas estratégias refletem um compromisso com a excelência na elaboração de questionários, visando maximizar a eficiência e a validade na coleta de dados.</w:t>
      </w:r>
    </w:p>
    <w:p w14:paraId="63274660"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A comparação entre o questionário nas fases pré e pós-validação dos especialistas mostra que a redução das questões pode ser atribuída a fatores como a eliminação de perguntas redundantes ou irrelevantes para os objetivos da pesquisa. Essa análise simplifica o questionário, tornando-o mais fácil de ser respondido e reduzindo o tempo necessário para sua conclusão. Além disso, os especialistas podem ter identificado questões desalinhadas com o foco da pesquisa ou que não contribuem significativamente para a coleta de dados desejada.</w:t>
      </w:r>
    </w:p>
    <w:p w14:paraId="74C3C0AA"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Portanto, essas questões foram removidas para garantir que o questionário permanecesse conciso e direcionado. Em resumo, a redução de 135 para 102 questões na versão final do questionário indica um processo de refinamento e otimização, visando melhorar a eficácia e a usabilidade do instrumento de pesquisa.</w:t>
      </w:r>
    </w:p>
    <w:p w14:paraId="14C33A43"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lastRenderedPageBreak/>
        <w:t>A adaptação do vocabulário foi fundamental para garantir que o questionário fosse adequado para diversos grupos demográficos, levando em conta as variações linguísticas e contextuais. No geral, a revisão do vocabulário do questionário reflete o comprometimento dos especialistas em aprimorar a qualidade da pesquisa, que permitiu maior entendimento dos participantes.</w:t>
      </w:r>
    </w:p>
    <w:p w14:paraId="209EE399"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Embora os resultados deste estudo sejam promissores, é importante considerar algumas limitações tais como: a interpretação variável das perguntas pelos participantes pode resultar em respostas inconsistentes, afetando a confiabilidade dos dados coletados. A falta de comparação direta entre os questionários utilizados nessas duas áreas-chave da saúde pública pode prejudicar a validade externa e a generalização dos resultados. Sem um ponto de referência para comparar a eficácia e precisão dos questionários específicos de cada domínio, é difícil determinar se os instrumentos estão capturando adequadamente as nuances e complexidades das práticas de prevenção e controle de infecções, bem como do gerenciamento de ATM. Devido a restrições de tempo, não foi viável realizar uma segunda rodada de avaliação com os especialistas, sugerindo-se que futuros estudos considerem a validação em duas etapas para garantir uma avaliação mais completa e robusta.</w:t>
      </w:r>
    </w:p>
    <w:p w14:paraId="0A8E3476" w14:textId="77777777" w:rsidR="002E6145" w:rsidRPr="00134AAC" w:rsidRDefault="00B06470">
      <w:pPr>
        <w:pBdr>
          <w:top w:val="none" w:sz="0" w:space="0" w:color="E3E3E3"/>
          <w:left w:val="none" w:sz="0" w:space="0" w:color="E3E3E3"/>
          <w:bottom w:val="none" w:sz="0" w:space="0" w:color="E3E3E3"/>
          <w:right w:val="none" w:sz="0" w:space="0" w:color="E3E3E3"/>
          <w:between w:val="none" w:sz="0" w:space="0" w:color="E3E3E3"/>
        </w:pBdr>
        <w:spacing w:after="0" w:line="420" w:lineRule="auto"/>
        <w:ind w:firstLine="851"/>
        <w:jc w:val="both"/>
        <w:rPr>
          <w:rFonts w:ascii="Times New Roman" w:eastAsia="Times New Roman" w:hAnsi="Times New Roman" w:cs="Times New Roman"/>
          <w:color w:val="000000"/>
          <w:sz w:val="24"/>
          <w:szCs w:val="24"/>
          <w:vertAlign w:val="superscript"/>
        </w:rPr>
      </w:pPr>
      <w:r w:rsidRPr="00134AAC">
        <w:rPr>
          <w:rFonts w:ascii="Times New Roman" w:eastAsia="Times New Roman" w:hAnsi="Times New Roman" w:cs="Times New Roman"/>
          <w:color w:val="000000"/>
          <w:sz w:val="24"/>
          <w:szCs w:val="24"/>
        </w:rPr>
        <w:t>Realizar pesquisas sobre gerenciamento de ATM e prevenção de infecções na atenção primária à saúde no Brasil é crucial para promover o uso racional de ATM, prevenir eventos adversos e melhorar a qualidade dos cuidados de saúde oferecidos aos pacientes. Esses estudos também contribuem para otimizar recursos de saúde, fortalecer a vigilância epidemiológica e reduzir a carga de doenças infecciosas, além de fortalecer o sistema de saúde brasileiro e contribuir para a saúde pública global.</w:t>
      </w:r>
      <w:r w:rsidRPr="00134AAC">
        <w:rPr>
          <w:rFonts w:ascii="Times New Roman" w:eastAsia="Times New Roman" w:hAnsi="Times New Roman" w:cs="Times New Roman"/>
          <w:color w:val="000000"/>
          <w:sz w:val="24"/>
          <w:szCs w:val="24"/>
          <w:vertAlign w:val="superscript"/>
        </w:rPr>
        <w:t xml:space="preserve">21 </w:t>
      </w:r>
    </w:p>
    <w:p w14:paraId="0C7F381C" w14:textId="77777777" w:rsidR="002E6145" w:rsidRPr="00134AAC" w:rsidRDefault="00B06470">
      <w:pPr>
        <w:spacing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Uma limitação deste estudo é a possível variabilidade nas respostas dos profissionais da APS devido a diferenças regionais e contextuais na prática clínica e nas políticas de saúde. Além disso, a autoavaliação pode introduzir vieses, como a desejabilidade social, onde os respondentes podem fornecer respostas que consideram mais aceitáveis do que verdadeiras.</w:t>
      </w:r>
    </w:p>
    <w:p w14:paraId="07984837" w14:textId="77777777" w:rsidR="002E6145" w:rsidRPr="00134AAC" w:rsidRDefault="00B06470">
      <w:pPr>
        <w:spacing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lastRenderedPageBreak/>
        <w:t>Este estudo contribui significativamente para a prática clínica ao oferecer uma ferramenta validada que pode ser utilizada para avaliar e melhorar as estratégias de PCI e o gerenciamento de ATM na APS. A ferramenta permitirá um monitoramento mais preciso do uso de antimicrobianos, facilitando intervenções direcionadas para reduzir a RAM. Além disso, a aplicação da ferramenta pode promover uma maior conscientização entre os profissionais de saúde sobre as melhores práticas no uso de ATM, incentivando uma abordagem mais racional e baseada em evidências.</w:t>
      </w:r>
    </w:p>
    <w:p w14:paraId="781728BD" w14:textId="130969CE" w:rsidR="002E6145" w:rsidRPr="00134AAC" w:rsidRDefault="00B06470">
      <w:pPr>
        <w:spacing w:line="360" w:lineRule="auto"/>
        <w:ind w:firstLine="851"/>
        <w:jc w:val="both"/>
        <w:rPr>
          <w:rFonts w:ascii="Times New Roman" w:eastAsia="Times New Roman" w:hAnsi="Times New Roman" w:cs="Times New Roman"/>
          <w:b/>
          <w:color w:val="000000"/>
          <w:sz w:val="24"/>
          <w:szCs w:val="24"/>
        </w:rPr>
      </w:pPr>
      <w:r w:rsidRPr="00134AAC">
        <w:rPr>
          <w:rFonts w:ascii="Times New Roman" w:eastAsia="Times New Roman" w:hAnsi="Times New Roman" w:cs="Times New Roman"/>
          <w:color w:val="000000"/>
          <w:sz w:val="24"/>
          <w:szCs w:val="24"/>
        </w:rPr>
        <w:t xml:space="preserve">A validação apresentada neste trabalho mostrou que os questionários desenvolvidos podem ser usados ​​como ferramentas precisas e confiáveis ​​para medir a implementação dos programas de gerenciamento de ATM de nível nacional, podendo ser replicado de forma segura e confiável. O objetivo principal consistiu na construção de um instrumento robusto e confiável, capaz de fornecer dados relevantes para aprimorar as práticas nesse contexto específico, visando </w:t>
      </w:r>
      <w:r w:rsidR="00FA72B4" w:rsidRPr="00134AAC">
        <w:rPr>
          <w:rFonts w:ascii="Times New Roman" w:eastAsia="Times New Roman" w:hAnsi="Times New Roman" w:cs="Times New Roman"/>
          <w:color w:val="000000"/>
          <w:sz w:val="24"/>
          <w:szCs w:val="24"/>
        </w:rPr>
        <w:t>à</w:t>
      </w:r>
      <w:r w:rsidRPr="00134AAC">
        <w:rPr>
          <w:rFonts w:ascii="Times New Roman" w:eastAsia="Times New Roman" w:hAnsi="Times New Roman" w:cs="Times New Roman"/>
          <w:color w:val="000000"/>
          <w:sz w:val="24"/>
          <w:szCs w:val="24"/>
        </w:rPr>
        <w:t xml:space="preserve"> melhoria contínua da qualidade dos serviços de saúde.</w:t>
      </w:r>
    </w:p>
    <w:p w14:paraId="2B82D4CB" w14:textId="77777777" w:rsidR="002E6145" w:rsidRPr="00134AAC" w:rsidRDefault="00B06470">
      <w:pPr>
        <w:pStyle w:val="Ttulo1"/>
        <w:spacing w:before="240" w:after="240" w:line="240" w:lineRule="auto"/>
        <w:jc w:val="both"/>
      </w:pPr>
      <w:bookmarkStart w:id="10" w:name="_heading=h.17dp8vu" w:colFirst="0" w:colLast="0"/>
      <w:bookmarkEnd w:id="10"/>
      <w:r w:rsidRPr="00134AAC">
        <w:t>AGRADECIMENTOS</w:t>
      </w:r>
    </w:p>
    <w:p w14:paraId="552A4C95" w14:textId="6B2CCAA4" w:rsidR="002E6145" w:rsidRPr="00134AAC" w:rsidRDefault="00B06470">
      <w:pPr>
        <w:spacing w:before="240" w:after="240" w:line="360" w:lineRule="auto"/>
        <w:ind w:firstLine="851"/>
        <w:jc w:val="both"/>
        <w:rPr>
          <w:rFonts w:ascii="Times New Roman" w:eastAsia="Times New Roman" w:hAnsi="Times New Roman" w:cs="Times New Roman"/>
          <w:color w:val="000000"/>
          <w:sz w:val="24"/>
          <w:szCs w:val="24"/>
        </w:rPr>
      </w:pPr>
      <w:r w:rsidRPr="00134AAC">
        <w:rPr>
          <w:rFonts w:ascii="Times New Roman" w:eastAsia="Times New Roman" w:hAnsi="Times New Roman" w:cs="Times New Roman"/>
          <w:color w:val="000000"/>
          <w:sz w:val="24"/>
          <w:szCs w:val="24"/>
        </w:rPr>
        <w:t xml:space="preserve">Agradecemos sinceramente à Coordenação de Aperfeiçoamento de Pessoal de Nível Superior (CAPES) do Brasil pelo apoio financeiro fornecido, sob o Código de Financiamento 001, fundamental para o desenvolvimento e execução desta pesquisa. </w:t>
      </w:r>
      <w:r w:rsidR="00FA72B4" w:rsidRPr="00134AAC">
        <w:rPr>
          <w:rFonts w:ascii="Times New Roman" w:eastAsia="Times New Roman" w:hAnsi="Times New Roman" w:cs="Times New Roman"/>
          <w:color w:val="000000"/>
          <w:sz w:val="24"/>
          <w:szCs w:val="24"/>
        </w:rPr>
        <w:t>Além disso,</w:t>
      </w:r>
      <w:r w:rsidRPr="00134AAC">
        <w:rPr>
          <w:rFonts w:ascii="Times New Roman" w:eastAsia="Times New Roman" w:hAnsi="Times New Roman" w:cs="Times New Roman"/>
          <w:color w:val="000000"/>
          <w:sz w:val="24"/>
          <w:szCs w:val="24"/>
        </w:rPr>
        <w:t xml:space="preserve"> gostaríamos de expressar nossa profunda gratidão a todos os especialistas que dedicaram seu tempo e conhecimento para validar a ferramenta utilizada neste trabalho. Seu comprometimento e colaboração ativa foram fundamentais para garantir a qualidade e a credibilidade dos instrumentos de pesquisa.</w:t>
      </w:r>
    </w:p>
    <w:p w14:paraId="52C8CBFD" w14:textId="77777777" w:rsidR="002E6145" w:rsidRPr="00134AAC" w:rsidRDefault="00B06470">
      <w:pPr>
        <w:spacing w:after="0"/>
        <w:rPr>
          <w:rFonts w:ascii="Times New Roman" w:eastAsia="Times New Roman" w:hAnsi="Times New Roman" w:cs="Times New Roman"/>
          <w:b/>
          <w:sz w:val="24"/>
          <w:szCs w:val="24"/>
        </w:rPr>
      </w:pPr>
      <w:r w:rsidRPr="00134AAC">
        <w:rPr>
          <w:rFonts w:ascii="Times New Roman" w:eastAsia="Times New Roman" w:hAnsi="Times New Roman" w:cs="Times New Roman"/>
          <w:b/>
          <w:sz w:val="24"/>
          <w:szCs w:val="24"/>
        </w:rPr>
        <w:t>REFERÊNCIAS</w:t>
      </w:r>
    </w:p>
    <w:p w14:paraId="7C469D45" w14:textId="77777777" w:rsidR="002E6145" w:rsidRPr="00134AAC" w:rsidRDefault="00B06470">
      <w:pPr>
        <w:spacing w:before="240" w:after="240" w:line="240" w:lineRule="auto"/>
        <w:ind w:left="426" w:hanging="429"/>
        <w:jc w:val="both"/>
        <w:rPr>
          <w:rFonts w:ascii="Times New Roman" w:eastAsia="Times New Roman" w:hAnsi="Times New Roman" w:cs="Times New Roman"/>
          <w:color w:val="1155CC"/>
          <w:sz w:val="24"/>
          <w:szCs w:val="24"/>
          <w:lang w:val="en-US"/>
        </w:rPr>
      </w:pPr>
      <w:r w:rsidRPr="00134AAC">
        <w:rPr>
          <w:rFonts w:ascii="Times New Roman" w:eastAsia="Times New Roman" w:hAnsi="Times New Roman" w:cs="Times New Roman"/>
          <w:sz w:val="24"/>
          <w:szCs w:val="24"/>
        </w:rPr>
        <w:t xml:space="preserve">1.      </w:t>
      </w:r>
      <w:r w:rsidRPr="00134AAC">
        <w:rPr>
          <w:rFonts w:ascii="Times New Roman" w:eastAsia="Times New Roman" w:hAnsi="Times New Roman" w:cs="Times New Roman"/>
          <w:sz w:val="24"/>
          <w:szCs w:val="24"/>
        </w:rPr>
        <w:tab/>
        <w:t xml:space="preserve">Murray CJ, Ikuta KS, Sharara F, et al. </w:t>
      </w:r>
      <w:r w:rsidRPr="00134AAC">
        <w:rPr>
          <w:rFonts w:ascii="Times New Roman" w:eastAsia="Times New Roman" w:hAnsi="Times New Roman" w:cs="Times New Roman"/>
          <w:sz w:val="24"/>
          <w:szCs w:val="24"/>
          <w:lang w:val="en-US"/>
        </w:rPr>
        <w:t xml:space="preserve">Global burden of bacterial antimicrobial resistance in 2019: a systematic analysis. The lancet. 2022 Feb 12;399(10325):629-55. </w:t>
      </w:r>
      <w:hyperlink r:id="rId9">
        <w:r w:rsidRPr="00134AAC">
          <w:rPr>
            <w:rFonts w:ascii="Times New Roman" w:eastAsia="Times New Roman" w:hAnsi="Times New Roman" w:cs="Times New Roman"/>
            <w:color w:val="1155CC"/>
            <w:sz w:val="24"/>
            <w:szCs w:val="24"/>
            <w:u w:val="single"/>
            <w:lang w:val="en-US"/>
          </w:rPr>
          <w:t>https://doi.org/10.1016/S0140-6736(21)02724-0</w:t>
        </w:r>
      </w:hyperlink>
    </w:p>
    <w:p w14:paraId="3C0C63A4" w14:textId="77777777" w:rsidR="002E6145" w:rsidRPr="00134AAC" w:rsidRDefault="00B06470">
      <w:pPr>
        <w:spacing w:before="240" w:after="240" w:line="240" w:lineRule="auto"/>
        <w:ind w:left="426" w:hanging="429"/>
        <w:jc w:val="both"/>
        <w:rPr>
          <w:color w:val="1155CC"/>
        </w:rPr>
      </w:pPr>
      <w:r w:rsidRPr="00134AAC">
        <w:rPr>
          <w:rFonts w:ascii="Times New Roman" w:eastAsia="Times New Roman" w:hAnsi="Times New Roman" w:cs="Times New Roman"/>
          <w:sz w:val="24"/>
          <w:szCs w:val="24"/>
          <w:lang w:val="en-US"/>
        </w:rPr>
        <w:t>2.</w:t>
      </w:r>
      <w:r w:rsidRPr="00134AAC">
        <w:rPr>
          <w:rFonts w:ascii="Times New Roman" w:eastAsia="Times New Roman" w:hAnsi="Times New Roman" w:cs="Times New Roman"/>
          <w:sz w:val="24"/>
          <w:szCs w:val="24"/>
          <w:lang w:val="en-US"/>
        </w:rPr>
        <w:tab/>
        <w:t xml:space="preserve">Jeffs L, McIsaac W, Zahradnik M, et al. Barriers and facilitators to the uptake of an antimicrobial stewardship program in primary care: a qualitative study. PloS one. 2020 Mar 5;15(3):e0223822. </w:t>
      </w:r>
      <w:hyperlink r:id="rId10">
        <w:r w:rsidRPr="00134AAC">
          <w:rPr>
            <w:rFonts w:ascii="Times New Roman" w:eastAsia="Times New Roman" w:hAnsi="Times New Roman" w:cs="Times New Roman"/>
            <w:color w:val="1155CC"/>
            <w:sz w:val="24"/>
            <w:szCs w:val="24"/>
            <w:u w:val="single"/>
          </w:rPr>
          <w:t>https://doi.org/10.1371/journal.pone.0223822</w:t>
        </w:r>
      </w:hyperlink>
    </w:p>
    <w:p w14:paraId="425762EB"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rPr>
        <w:t xml:space="preserve">3. </w:t>
      </w:r>
      <w:r w:rsidRPr="00134AAC">
        <w:rPr>
          <w:rFonts w:ascii="Times New Roman" w:eastAsia="Times New Roman" w:hAnsi="Times New Roman" w:cs="Times New Roman"/>
          <w:sz w:val="24"/>
          <w:szCs w:val="24"/>
        </w:rPr>
        <w:tab/>
        <w:t>Pasquali L. Psychometrics. Revista da Escola de Enfermagem da USP. 2009;43:992-9.</w:t>
      </w:r>
      <w:hyperlink r:id="rId11">
        <w:r w:rsidRPr="00134AAC">
          <w:rPr>
            <w:rFonts w:ascii="Times New Roman" w:eastAsia="Times New Roman" w:hAnsi="Times New Roman" w:cs="Times New Roman"/>
            <w:color w:val="1155CC"/>
            <w:sz w:val="24"/>
            <w:szCs w:val="24"/>
            <w:u w:val="single"/>
          </w:rPr>
          <w:t xml:space="preserve"> </w:t>
        </w:r>
        <w:r w:rsidRPr="00134AAC">
          <w:rPr>
            <w:rFonts w:ascii="Times New Roman" w:eastAsia="Times New Roman" w:hAnsi="Times New Roman" w:cs="Times New Roman"/>
            <w:color w:val="1155CC"/>
            <w:sz w:val="24"/>
            <w:szCs w:val="24"/>
            <w:u w:val="single"/>
            <w:lang w:val="en-US"/>
          </w:rPr>
          <w:t>https://doi.org/10.1590/S0080-62342009000500002</w:t>
        </w:r>
      </w:hyperlink>
    </w:p>
    <w:p w14:paraId="2D7AB122"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lang w:val="en-US"/>
        </w:rPr>
        <w:lastRenderedPageBreak/>
        <w:t xml:space="preserve">4.    Alexandre NMC, Coluci MZO. Content validity in the development and adaptation processes of measurement instruments. </w:t>
      </w:r>
      <w:r w:rsidRPr="00134AAC">
        <w:rPr>
          <w:rFonts w:ascii="Times New Roman" w:eastAsia="Times New Roman" w:hAnsi="Times New Roman" w:cs="Times New Roman"/>
          <w:sz w:val="24"/>
          <w:szCs w:val="24"/>
        </w:rPr>
        <w:t xml:space="preserve">Ciênc saúde coletiva . 2011 Jul;16(7):3061–8. </w:t>
      </w:r>
      <w:hyperlink r:id="rId12">
        <w:r w:rsidRPr="00134AAC">
          <w:rPr>
            <w:rFonts w:ascii="Times New Roman" w:eastAsia="Times New Roman" w:hAnsi="Times New Roman" w:cs="Times New Roman"/>
            <w:color w:val="1155CC"/>
            <w:sz w:val="24"/>
            <w:szCs w:val="24"/>
            <w:u w:val="single"/>
          </w:rPr>
          <w:t>https://doi.org/10.1590/S1413-81232011000800006</w:t>
        </w:r>
      </w:hyperlink>
    </w:p>
    <w:p w14:paraId="56EA1E12"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5.</w:t>
      </w:r>
      <w:r w:rsidRPr="00134AAC">
        <w:rPr>
          <w:rFonts w:ascii="Times New Roman" w:eastAsia="Times New Roman" w:hAnsi="Times New Roman" w:cs="Times New Roman"/>
          <w:sz w:val="24"/>
          <w:szCs w:val="24"/>
        </w:rPr>
        <w:tab/>
        <w:t xml:space="preserve">Freire IL, dos Santos FR, do Nascimento AC, et al. Validação de questionário para a avaliação do conhecimento de docentes e discentes de enfermagem sobre o suporte básico de vida. Revista de Enfermagem UFPE on line. 2017 Dec;11(12):4953-60. </w:t>
      </w:r>
      <w:hyperlink r:id="rId13">
        <w:r w:rsidRPr="00134AAC">
          <w:rPr>
            <w:rFonts w:ascii="Times New Roman" w:eastAsia="Times New Roman" w:hAnsi="Times New Roman" w:cs="Times New Roman"/>
            <w:color w:val="1155CC"/>
            <w:sz w:val="24"/>
            <w:szCs w:val="24"/>
            <w:u w:val="single"/>
          </w:rPr>
          <w:t>https://doi.org/10.5205/1981-8963-v11i12a23556p4953-4960-2017</w:t>
        </w:r>
      </w:hyperlink>
    </w:p>
    <w:p w14:paraId="6E9085A2"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6.    Brasil. Gerência de Vigilância e Monitoramento em Serviços de Saúde; Gerência Geral de Tecnologia em Serviços de Saúde; Agência Nacional de Vigilância Sanitária. Programa Nacional de Prevenção e Controle de Infecções Relacionadas à Assistência à Saúde 2021 a 2025 – PNPCIRAS, 2021.</w:t>
      </w:r>
      <w:hyperlink r:id="rId14">
        <w:r w:rsidRPr="00134AAC">
          <w:rPr>
            <w:rFonts w:ascii="Times New Roman" w:eastAsia="Times New Roman" w:hAnsi="Times New Roman" w:cs="Times New Roman"/>
            <w:color w:val="1155CC"/>
            <w:sz w:val="24"/>
            <w:szCs w:val="24"/>
            <w:u w:val="single"/>
          </w:rPr>
          <w:t>https://www.gov.br/anvisa/pt-br/centraisdeconteudo/publicacoes/servicosdesaude/publicacoes/pnpciras_2021_2025.pdf</w:t>
        </w:r>
      </w:hyperlink>
    </w:p>
    <w:p w14:paraId="396383AD"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7.</w:t>
      </w:r>
      <w:r w:rsidRPr="00134AAC">
        <w:rPr>
          <w:rFonts w:ascii="Times New Roman" w:eastAsia="Times New Roman" w:hAnsi="Times New Roman" w:cs="Times New Roman"/>
          <w:sz w:val="24"/>
          <w:szCs w:val="24"/>
        </w:rPr>
        <w:tab/>
        <w:t xml:space="preserve">Brasil. Ministério da Saúde. Plano de ação nacional de prevenção e controle da resistência aos antimicrobianos no âmbito da saúde única 2018-2022 (PAN-BR).  Ministério da Saúde, Secretaria de Vigilância em Saúde, Departamento de Vigilância das Doenças Transmissíveis. – Brasília: Ministério da Saúde, 2019. </w:t>
      </w:r>
      <w:hyperlink r:id="rId15">
        <w:r w:rsidRPr="00134AAC">
          <w:rPr>
            <w:rFonts w:ascii="Times New Roman" w:eastAsia="Times New Roman" w:hAnsi="Times New Roman" w:cs="Times New Roman"/>
            <w:color w:val="1155CC"/>
            <w:sz w:val="24"/>
            <w:szCs w:val="24"/>
            <w:u w:val="single"/>
          </w:rPr>
          <w:t>https://www.gov.br/anvisa/pt-br/centraisdeconteudo/publicacoes/servicosdesaude/publicacoes/DiretrizGerenciamentoAntimicrobianosANVISA2023FINAL.pdf</w:t>
        </w:r>
      </w:hyperlink>
    </w:p>
    <w:p w14:paraId="39BF4603"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8.</w:t>
      </w:r>
      <w:r w:rsidRPr="00134AAC">
        <w:rPr>
          <w:rFonts w:ascii="Times New Roman" w:eastAsia="Times New Roman" w:hAnsi="Times New Roman" w:cs="Times New Roman"/>
          <w:sz w:val="24"/>
          <w:szCs w:val="24"/>
        </w:rPr>
        <w:tab/>
        <w:t xml:space="preserve">Padoveze MC, Figueiredo RM de. </w:t>
      </w:r>
      <w:r w:rsidRPr="00134AAC">
        <w:rPr>
          <w:rFonts w:ascii="Times New Roman" w:eastAsia="Times New Roman" w:hAnsi="Times New Roman" w:cs="Times New Roman"/>
          <w:sz w:val="24"/>
          <w:szCs w:val="24"/>
          <w:lang w:val="en-US"/>
        </w:rPr>
        <w:t xml:space="preserve">The role of primary care in the prevention and control of healthcare associated infections. </w:t>
      </w:r>
      <w:r w:rsidRPr="00134AAC">
        <w:rPr>
          <w:rFonts w:ascii="Times New Roman" w:eastAsia="Times New Roman" w:hAnsi="Times New Roman" w:cs="Times New Roman"/>
          <w:sz w:val="24"/>
          <w:szCs w:val="24"/>
        </w:rPr>
        <w:t xml:space="preserve">Rev esc enferm USP. 2014 Dec;48(6):1137–44. </w:t>
      </w:r>
      <w:hyperlink r:id="rId16">
        <w:r w:rsidRPr="00134AAC">
          <w:rPr>
            <w:rFonts w:ascii="Times New Roman" w:eastAsia="Times New Roman" w:hAnsi="Times New Roman" w:cs="Times New Roman"/>
            <w:color w:val="1155CC"/>
            <w:sz w:val="24"/>
            <w:szCs w:val="24"/>
            <w:u w:val="single"/>
          </w:rPr>
          <w:t>https://doi.org/10.1590/S0080-623420140000700023</w:t>
        </w:r>
      </w:hyperlink>
    </w:p>
    <w:p w14:paraId="79EDA379"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9.</w:t>
      </w:r>
      <w:r w:rsidRPr="00134AAC">
        <w:rPr>
          <w:rFonts w:ascii="Times New Roman" w:eastAsia="Times New Roman" w:hAnsi="Times New Roman" w:cs="Times New Roman"/>
          <w:sz w:val="24"/>
          <w:szCs w:val="24"/>
        </w:rPr>
        <w:tab/>
        <w:t xml:space="preserve">Brasil. Gerência de Vigilância e Monitoramento em Serviços de Saúde; Gerência Geral de Tecnologia em Serviços de Saúde; Agência Nacional de Vigilância Sanitária. Diretriz Nacional para Elaboração de Programa de Gerenciamento do Uso de Antimicrobianos em Serviços de Saúde. Brasília (DF): Anvisa; 2017. </w:t>
      </w:r>
      <w:hyperlink r:id="rId17">
        <w:r w:rsidRPr="00134AAC">
          <w:rPr>
            <w:rFonts w:ascii="Times New Roman" w:eastAsia="Times New Roman" w:hAnsi="Times New Roman" w:cs="Times New Roman"/>
            <w:color w:val="1155CC"/>
            <w:sz w:val="24"/>
            <w:szCs w:val="24"/>
            <w:u w:val="single"/>
          </w:rPr>
          <w:t>https://antigo.anvisa.gov.br/documents/33852/271855/Diretriz+Nacional+para+Elabora%C3%A7%C3%A3o+de+Programa+de+Gerenciamento+do+Uso+de+Antimicrobianos+em+Servi%C3%A7os+de+Sa%C3%BAde/667979c2-7edc-411b-a7e0-49a6448880d4?version=1.0</w:t>
        </w:r>
      </w:hyperlink>
    </w:p>
    <w:p w14:paraId="2CA5569D"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lang w:val="en-US"/>
        </w:rPr>
        <w:t xml:space="preserve">10.    Sanchez GV. Core elements of outpatient antibiotic stewardship. MMWR. Recommendations and Reports. 2016;65. </w:t>
      </w:r>
      <w:hyperlink r:id="rId18">
        <w:r w:rsidRPr="00134AAC">
          <w:rPr>
            <w:rFonts w:ascii="Times New Roman" w:eastAsia="Times New Roman" w:hAnsi="Times New Roman" w:cs="Times New Roman"/>
            <w:color w:val="1155CC"/>
            <w:sz w:val="24"/>
            <w:szCs w:val="24"/>
            <w:u w:val="single"/>
            <w:lang w:val="en-US"/>
          </w:rPr>
          <w:t>https://www.cdc.gov/mmwr/volumes/65/rr/pdfs/rr6506.pdf</w:t>
        </w:r>
      </w:hyperlink>
    </w:p>
    <w:p w14:paraId="5DF89009"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 xml:space="preserve">11.    Bastos JE de S, Sousa JM de J, Silva PMN da, et al. O Uso do Questionário como Ferramenta Metodológica: potencialidades e desafios. </w:t>
      </w:r>
      <w:r w:rsidRPr="00134AAC">
        <w:rPr>
          <w:rFonts w:ascii="Times New Roman" w:eastAsia="Times New Roman" w:hAnsi="Times New Roman" w:cs="Times New Roman"/>
          <w:sz w:val="24"/>
          <w:szCs w:val="24"/>
          <w:lang w:val="en-US"/>
        </w:rPr>
        <w:t xml:space="preserve">Revista Brazilian Journal of Implantology and Health Sciences, V 5, N 3, P 623-636, 2023. </w:t>
      </w:r>
      <w:hyperlink r:id="rId19">
        <w:r w:rsidRPr="00134AAC">
          <w:rPr>
            <w:rFonts w:ascii="Times New Roman" w:eastAsia="Times New Roman" w:hAnsi="Times New Roman" w:cs="Times New Roman"/>
            <w:color w:val="1155CC"/>
            <w:sz w:val="24"/>
            <w:szCs w:val="24"/>
            <w:u w:val="single"/>
          </w:rPr>
          <w:t>https://doi.org/10.36557/2674-8169.2023v5n3p623-636</w:t>
        </w:r>
      </w:hyperlink>
    </w:p>
    <w:p w14:paraId="23BAA2A8"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rPr>
        <w:t>12.</w:t>
      </w:r>
      <w:r w:rsidRPr="00134AAC">
        <w:rPr>
          <w:rFonts w:ascii="Times New Roman" w:eastAsia="Times New Roman" w:hAnsi="Times New Roman" w:cs="Times New Roman"/>
          <w:sz w:val="24"/>
          <w:szCs w:val="24"/>
        </w:rPr>
        <w:tab/>
        <w:t xml:space="preserve">Ramos DK, Ribeiro FL, Anastácio BS, et al. </w:t>
      </w:r>
      <w:r w:rsidRPr="00134AAC">
        <w:rPr>
          <w:rFonts w:ascii="Times New Roman" w:eastAsia="Times New Roman" w:hAnsi="Times New Roman" w:cs="Times New Roman"/>
          <w:sz w:val="24"/>
          <w:szCs w:val="24"/>
          <w:lang w:val="en-US"/>
        </w:rPr>
        <w:t xml:space="preserve">Elaboration of questionnaires: some contributions. RSD. 2019 Jan 1 ;8(3):e4183828. </w:t>
      </w:r>
      <w:hyperlink r:id="rId20">
        <w:r w:rsidRPr="00134AAC">
          <w:rPr>
            <w:rFonts w:ascii="Times New Roman" w:eastAsia="Times New Roman" w:hAnsi="Times New Roman" w:cs="Times New Roman"/>
            <w:color w:val="1155CC"/>
            <w:sz w:val="24"/>
            <w:szCs w:val="24"/>
            <w:u w:val="single"/>
            <w:lang w:val="en-US"/>
          </w:rPr>
          <w:t>https://doi.org/10.33448/rsd-v8i3.828</w:t>
        </w:r>
      </w:hyperlink>
    </w:p>
    <w:p w14:paraId="49FEC466"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lang w:val="en-US"/>
        </w:rPr>
        <w:lastRenderedPageBreak/>
        <w:t>13.</w:t>
      </w:r>
      <w:r w:rsidRPr="00134AAC">
        <w:rPr>
          <w:rFonts w:ascii="Times New Roman" w:eastAsia="Times New Roman" w:hAnsi="Times New Roman" w:cs="Times New Roman"/>
          <w:sz w:val="24"/>
          <w:szCs w:val="24"/>
          <w:lang w:val="en-US"/>
        </w:rPr>
        <w:tab/>
        <w:t>Cohen L, Manion L, Morrison K. Research methods in education. routledge; 2002 Sep 11.</w:t>
      </w:r>
      <w:hyperlink r:id="rId21">
        <w:r w:rsidRPr="00134AAC">
          <w:rPr>
            <w:rFonts w:ascii="Times New Roman" w:eastAsia="Times New Roman" w:hAnsi="Times New Roman" w:cs="Times New Roman"/>
            <w:color w:val="1155CC"/>
            <w:sz w:val="24"/>
            <w:szCs w:val="24"/>
            <w:u w:val="single"/>
          </w:rPr>
          <w:t>https://doi.org/10.4324/9780203224342</w:t>
        </w:r>
      </w:hyperlink>
    </w:p>
    <w:p w14:paraId="4DC14DD4"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rPr>
        <w:t>14.</w:t>
      </w:r>
      <w:r w:rsidRPr="00134AAC">
        <w:rPr>
          <w:rFonts w:ascii="Times New Roman" w:eastAsia="Times New Roman" w:hAnsi="Times New Roman" w:cs="Times New Roman"/>
          <w:sz w:val="24"/>
          <w:szCs w:val="24"/>
        </w:rPr>
        <w:tab/>
        <w:t xml:space="preserve">Oliveira IB, Peres AM, Martins MM, et al. Ações inovadoras desenvolvidas por enfermeiras na Atenção Primária à Saúde. Revista Brasileira de Enfermagem. 2021 Aug 20;75:e20200782. </w:t>
      </w:r>
      <w:hyperlink r:id="rId22">
        <w:r w:rsidRPr="00134AAC">
          <w:rPr>
            <w:rFonts w:ascii="Times New Roman" w:eastAsia="Times New Roman" w:hAnsi="Times New Roman" w:cs="Times New Roman"/>
            <w:color w:val="1155CC"/>
            <w:sz w:val="24"/>
            <w:szCs w:val="24"/>
            <w:u w:val="single"/>
            <w:lang w:val="en-US"/>
          </w:rPr>
          <w:t>https://doi.org/10.1590/0034-7167-2020-0782</w:t>
        </w:r>
      </w:hyperlink>
    </w:p>
    <w:p w14:paraId="0BD39084"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lang w:val="en-US"/>
        </w:rPr>
        <w:t>15.</w:t>
      </w:r>
      <w:r w:rsidRPr="00134AAC">
        <w:rPr>
          <w:rFonts w:ascii="Times New Roman" w:eastAsia="Times New Roman" w:hAnsi="Times New Roman" w:cs="Times New Roman"/>
          <w:sz w:val="24"/>
          <w:szCs w:val="24"/>
          <w:lang w:val="en-US"/>
        </w:rPr>
        <w:tab/>
        <w:t xml:space="preserve">Heo M, Kim N, Faith MS. Statistical power as a function of Cronbach alpha of instrument questionnaire items. BMC medical research methodology. 2015 Dec;15:1-9. </w:t>
      </w:r>
      <w:hyperlink r:id="rId23">
        <w:r w:rsidRPr="00134AAC">
          <w:rPr>
            <w:rFonts w:ascii="Times New Roman" w:eastAsia="Times New Roman" w:hAnsi="Times New Roman" w:cs="Times New Roman"/>
            <w:color w:val="1155CC"/>
            <w:sz w:val="24"/>
            <w:szCs w:val="24"/>
            <w:u w:val="single"/>
            <w:lang w:val="en-US"/>
          </w:rPr>
          <w:t>https://doi.org/10.1186/s12874-015-0070-6</w:t>
        </w:r>
      </w:hyperlink>
    </w:p>
    <w:p w14:paraId="4E5BCAE7"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lang w:val="en-US"/>
        </w:rPr>
      </w:pPr>
      <w:r w:rsidRPr="00134AAC">
        <w:rPr>
          <w:rFonts w:ascii="Times New Roman" w:eastAsia="Times New Roman" w:hAnsi="Times New Roman" w:cs="Times New Roman"/>
          <w:sz w:val="24"/>
          <w:szCs w:val="24"/>
          <w:lang w:val="en-US"/>
        </w:rPr>
        <w:t>16.</w:t>
      </w:r>
      <w:r w:rsidRPr="00134AAC">
        <w:rPr>
          <w:rFonts w:ascii="Times New Roman" w:eastAsia="Times New Roman" w:hAnsi="Times New Roman" w:cs="Times New Roman"/>
          <w:sz w:val="24"/>
          <w:szCs w:val="24"/>
          <w:lang w:val="en-US"/>
        </w:rPr>
        <w:tab/>
        <w:t xml:space="preserve">Center of Disease Control. Core Elements of Hospital Antibiotic Stewardship Programs. Atlanta, GA: US Department of Health and Human Services, CDC; 2019. Available at </w:t>
      </w:r>
      <w:hyperlink r:id="rId24">
        <w:r w:rsidRPr="00134AAC">
          <w:rPr>
            <w:rFonts w:ascii="Times New Roman" w:eastAsia="Times New Roman" w:hAnsi="Times New Roman" w:cs="Times New Roman"/>
            <w:color w:val="1155CC"/>
            <w:sz w:val="24"/>
            <w:szCs w:val="24"/>
            <w:u w:val="single"/>
            <w:lang w:val="en-US"/>
          </w:rPr>
          <w:t>https://www.cdc.gov/antibiotic-use/core-elements/hospital.html</w:t>
        </w:r>
      </w:hyperlink>
    </w:p>
    <w:p w14:paraId="3283ED8A"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lang w:val="en-US"/>
        </w:rPr>
        <w:t xml:space="preserve">17.     Hoss M, Ten Caten CS. </w:t>
      </w:r>
      <w:r w:rsidRPr="00134AAC">
        <w:rPr>
          <w:rFonts w:ascii="Times New Roman" w:eastAsia="Times New Roman" w:hAnsi="Times New Roman" w:cs="Times New Roman"/>
          <w:sz w:val="24"/>
          <w:szCs w:val="24"/>
        </w:rPr>
        <w:t xml:space="preserve">Processo de Validação Interna de um Questionário em uma Survey Research sobre ISO 9001: 2000. Produto &amp; Produção. 2010 Jun 24;11(2). </w:t>
      </w:r>
      <w:hyperlink r:id="rId25">
        <w:r w:rsidRPr="00134AAC">
          <w:rPr>
            <w:rFonts w:ascii="Times New Roman" w:eastAsia="Times New Roman" w:hAnsi="Times New Roman" w:cs="Times New Roman"/>
            <w:color w:val="1155CC"/>
            <w:sz w:val="24"/>
            <w:szCs w:val="24"/>
            <w:u w:val="single"/>
          </w:rPr>
          <w:t>https://doi.org/10.22456/1983-8026.7240</w:t>
        </w:r>
      </w:hyperlink>
    </w:p>
    <w:p w14:paraId="0A3C9703"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18.</w:t>
      </w:r>
      <w:r w:rsidRPr="00134AAC">
        <w:rPr>
          <w:rFonts w:ascii="Times New Roman" w:eastAsia="Times New Roman" w:hAnsi="Times New Roman" w:cs="Times New Roman"/>
          <w:sz w:val="24"/>
          <w:szCs w:val="24"/>
        </w:rPr>
        <w:tab/>
        <w:t xml:space="preserve">Charani E, Smith I, Skodvin B, et al. </w:t>
      </w:r>
      <w:r w:rsidRPr="00134AAC">
        <w:rPr>
          <w:rFonts w:ascii="Times New Roman" w:eastAsia="Times New Roman" w:hAnsi="Times New Roman" w:cs="Times New Roman"/>
          <w:sz w:val="24"/>
          <w:szCs w:val="24"/>
          <w:lang w:val="en-US"/>
        </w:rPr>
        <w:t xml:space="preserve">Investigating the cultural and contextual determinants of antimicrobial stewardship programmes across low-, middle-and high-income countries—A qualitative study. </w:t>
      </w:r>
      <w:r w:rsidRPr="00134AAC">
        <w:rPr>
          <w:rFonts w:ascii="Times New Roman" w:eastAsia="Times New Roman" w:hAnsi="Times New Roman" w:cs="Times New Roman"/>
          <w:sz w:val="24"/>
          <w:szCs w:val="24"/>
        </w:rPr>
        <w:t xml:space="preserve">PloS one. 2019 Jan 16;14(1):e0209847. </w:t>
      </w:r>
      <w:hyperlink r:id="rId26">
        <w:r w:rsidRPr="00134AAC">
          <w:rPr>
            <w:rFonts w:ascii="Times New Roman" w:eastAsia="Times New Roman" w:hAnsi="Times New Roman" w:cs="Times New Roman"/>
            <w:color w:val="1155CC"/>
            <w:sz w:val="24"/>
            <w:szCs w:val="24"/>
            <w:u w:val="single"/>
          </w:rPr>
          <w:t>https://doi.org/10.1371/journal.pone.0209847</w:t>
        </w:r>
      </w:hyperlink>
    </w:p>
    <w:p w14:paraId="5179F354"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19.</w:t>
      </w:r>
      <w:r w:rsidRPr="00134AAC">
        <w:rPr>
          <w:rFonts w:ascii="Times New Roman" w:eastAsia="Times New Roman" w:hAnsi="Times New Roman" w:cs="Times New Roman"/>
          <w:sz w:val="24"/>
          <w:szCs w:val="24"/>
        </w:rPr>
        <w:tab/>
        <w:t xml:space="preserve">Souza AC de, Alexandre NMC, Guirardello E de B. Propriedades psicométricas na avaliação de instrumentos: avaliação da confiabilidade e da validade. Epidemiol Serv Saúde. 2017 Jul;26(3):649–59. </w:t>
      </w:r>
      <w:hyperlink r:id="rId27">
        <w:r w:rsidRPr="00134AAC">
          <w:rPr>
            <w:rFonts w:ascii="Times New Roman" w:eastAsia="Times New Roman" w:hAnsi="Times New Roman" w:cs="Times New Roman"/>
            <w:color w:val="1155CC"/>
            <w:sz w:val="24"/>
            <w:szCs w:val="24"/>
            <w:u w:val="single"/>
          </w:rPr>
          <w:t>https://doi.org/10.5123/S1679-49742017000300022</w:t>
        </w:r>
      </w:hyperlink>
    </w:p>
    <w:p w14:paraId="4E78C1EB"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 xml:space="preserve">20. </w:t>
      </w:r>
      <w:r w:rsidRPr="00134AAC">
        <w:rPr>
          <w:rFonts w:ascii="Times New Roman" w:eastAsia="Times New Roman" w:hAnsi="Times New Roman" w:cs="Times New Roman"/>
          <w:sz w:val="24"/>
          <w:szCs w:val="24"/>
        </w:rPr>
        <w:tab/>
        <w:t xml:space="preserve">Alvim ALS, Gazzinelli A, Couto BRGM. </w:t>
      </w:r>
      <w:r w:rsidRPr="00134AAC">
        <w:rPr>
          <w:rFonts w:ascii="Times New Roman" w:eastAsia="Times New Roman" w:hAnsi="Times New Roman" w:cs="Times New Roman"/>
          <w:sz w:val="24"/>
          <w:szCs w:val="24"/>
          <w:lang w:val="en-US"/>
        </w:rPr>
        <w:t xml:space="preserve">Construction and validation of instrument to assess the quality of infection control programs. </w:t>
      </w:r>
      <w:r w:rsidRPr="00134AAC">
        <w:rPr>
          <w:rFonts w:ascii="Times New Roman" w:eastAsia="Times New Roman" w:hAnsi="Times New Roman" w:cs="Times New Roman"/>
          <w:sz w:val="24"/>
          <w:szCs w:val="24"/>
        </w:rPr>
        <w:t xml:space="preserve">Rev Gaúcha Enferm. 2021;42:e20200135. </w:t>
      </w:r>
      <w:hyperlink r:id="rId28">
        <w:r w:rsidRPr="00134AAC">
          <w:rPr>
            <w:rFonts w:ascii="Times New Roman" w:eastAsia="Times New Roman" w:hAnsi="Times New Roman" w:cs="Times New Roman"/>
            <w:color w:val="1155CC"/>
            <w:sz w:val="24"/>
            <w:szCs w:val="24"/>
            <w:u w:val="single"/>
          </w:rPr>
          <w:t>https://doi.org/10.1590/1983-1447.2021.20200135</w:t>
        </w:r>
      </w:hyperlink>
    </w:p>
    <w:p w14:paraId="09B43D80" w14:textId="77777777" w:rsidR="002E6145" w:rsidRPr="00134AAC" w:rsidRDefault="00B06470">
      <w:pPr>
        <w:spacing w:before="240" w:after="240" w:line="240" w:lineRule="auto"/>
        <w:ind w:left="426" w:hanging="429"/>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 xml:space="preserve">21. </w:t>
      </w:r>
      <w:r w:rsidRPr="00134AAC">
        <w:rPr>
          <w:rFonts w:ascii="Times New Roman" w:eastAsia="Times New Roman" w:hAnsi="Times New Roman" w:cs="Times New Roman"/>
          <w:sz w:val="24"/>
          <w:szCs w:val="24"/>
        </w:rPr>
        <w:tab/>
        <w:t xml:space="preserve">da Silva-Brandao RR, de Oliveira SM, Correa JS, Zago LF, Fracolli LA, Padoveze MC, Currea GC. </w:t>
      </w:r>
      <w:r w:rsidRPr="00134AAC">
        <w:rPr>
          <w:rFonts w:ascii="Times New Roman" w:eastAsia="Times New Roman" w:hAnsi="Times New Roman" w:cs="Times New Roman"/>
          <w:sz w:val="24"/>
          <w:szCs w:val="24"/>
          <w:lang w:val="en-US"/>
        </w:rPr>
        <w:t xml:space="preserve">Coping with in-locus factors and systemic contradictions affecting antibiotic prescription and dispensing practices in primary care–A qualitative One Health study in Brazil. </w:t>
      </w:r>
      <w:r w:rsidRPr="00134AAC">
        <w:rPr>
          <w:rFonts w:ascii="Times New Roman" w:eastAsia="Times New Roman" w:hAnsi="Times New Roman" w:cs="Times New Roman"/>
          <w:sz w:val="24"/>
          <w:szCs w:val="24"/>
        </w:rPr>
        <w:t xml:space="preserve">PLoS One. 2023 Jan 20;18(1):e0280575. </w:t>
      </w:r>
      <w:hyperlink r:id="rId29">
        <w:r w:rsidRPr="00134AAC">
          <w:rPr>
            <w:rFonts w:ascii="Times New Roman" w:eastAsia="Times New Roman" w:hAnsi="Times New Roman" w:cs="Times New Roman"/>
            <w:color w:val="1155CC"/>
            <w:sz w:val="24"/>
            <w:szCs w:val="24"/>
            <w:u w:val="single"/>
          </w:rPr>
          <w:t>https://doi.org/10.1371/journal.pone.0280575</w:t>
        </w:r>
      </w:hyperlink>
    </w:p>
    <w:p w14:paraId="62A804E8" w14:textId="77777777" w:rsidR="002E6145" w:rsidRPr="00134AAC" w:rsidRDefault="00B06470">
      <w:pPr>
        <w:spacing w:line="360" w:lineRule="auto"/>
        <w:jc w:val="both"/>
        <w:rPr>
          <w:rFonts w:ascii="Times New Roman" w:eastAsia="Times New Roman" w:hAnsi="Times New Roman" w:cs="Times New Roman"/>
          <w:b/>
          <w:sz w:val="24"/>
          <w:szCs w:val="24"/>
        </w:rPr>
      </w:pPr>
      <w:r w:rsidRPr="00134AAC">
        <w:rPr>
          <w:rFonts w:ascii="Times New Roman" w:eastAsia="Times New Roman" w:hAnsi="Times New Roman" w:cs="Times New Roman"/>
          <w:b/>
          <w:sz w:val="24"/>
          <w:szCs w:val="24"/>
        </w:rPr>
        <w:t>Contribuições dos autores:</w:t>
      </w:r>
    </w:p>
    <w:p w14:paraId="62D114F7" w14:textId="77777777" w:rsidR="002E6145" w:rsidRPr="00134AAC" w:rsidRDefault="00B06470">
      <w:pPr>
        <w:spacing w:line="360" w:lineRule="auto"/>
        <w:jc w:val="both"/>
        <w:rPr>
          <w:rFonts w:ascii="Times New Roman" w:eastAsia="Times New Roman" w:hAnsi="Times New Roman" w:cs="Times New Roman"/>
          <w:color w:val="212121"/>
          <w:sz w:val="24"/>
          <w:szCs w:val="24"/>
        </w:rPr>
      </w:pPr>
      <w:r w:rsidRPr="00134AAC">
        <w:rPr>
          <w:rFonts w:ascii="Times New Roman" w:eastAsia="Times New Roman" w:hAnsi="Times New Roman" w:cs="Times New Roman"/>
          <w:b/>
          <w:sz w:val="24"/>
          <w:szCs w:val="24"/>
        </w:rPr>
        <w:t xml:space="preserve">Rochele Mosmann Menezes </w:t>
      </w:r>
      <w:r w:rsidRPr="00134AAC">
        <w:rPr>
          <w:rFonts w:ascii="Times New Roman" w:eastAsia="Times New Roman" w:hAnsi="Times New Roman" w:cs="Times New Roman"/>
          <w:color w:val="212121"/>
          <w:sz w:val="24"/>
          <w:szCs w:val="24"/>
        </w:rPr>
        <w:t xml:space="preserve">contribuiu para a pesquisa bibliográfica, redação do resumo, introdução, metodologia, discussão, interpretação e descrição dos resultados, elaboração de tabelas, conclusões, revisão e estatísticas. </w:t>
      </w:r>
      <w:r w:rsidRPr="00134AAC">
        <w:rPr>
          <w:rFonts w:ascii="Times New Roman" w:eastAsia="Times New Roman" w:hAnsi="Times New Roman" w:cs="Times New Roman"/>
          <w:b/>
          <w:sz w:val="24"/>
          <w:szCs w:val="24"/>
        </w:rPr>
        <w:t>Paula Trevisan</w:t>
      </w:r>
      <w:r w:rsidRPr="00134AAC">
        <w:rPr>
          <w:rFonts w:ascii="Times New Roman" w:eastAsia="Times New Roman" w:hAnsi="Times New Roman" w:cs="Times New Roman"/>
          <w:sz w:val="24"/>
          <w:szCs w:val="24"/>
        </w:rPr>
        <w:t xml:space="preserve"> </w:t>
      </w:r>
      <w:r w:rsidRPr="00134AAC">
        <w:rPr>
          <w:rFonts w:ascii="Times New Roman" w:eastAsia="Times New Roman" w:hAnsi="Times New Roman" w:cs="Times New Roman"/>
          <w:color w:val="212121"/>
          <w:sz w:val="24"/>
          <w:szCs w:val="24"/>
        </w:rPr>
        <w:t xml:space="preserve">contribuiu para a administração de projetos, pesquisa bibliográfica, redação do resumo, introdução, metodologia, discussão, interpretação e descrição dos resultados, conclusões, revisão e estatísticas. </w:t>
      </w:r>
      <w:r w:rsidRPr="00134AAC">
        <w:rPr>
          <w:rFonts w:ascii="Times New Roman" w:eastAsia="Times New Roman" w:hAnsi="Times New Roman" w:cs="Times New Roman"/>
          <w:b/>
          <w:sz w:val="24"/>
          <w:szCs w:val="24"/>
        </w:rPr>
        <w:t xml:space="preserve">Mara Rubia Santos Gonçalves </w:t>
      </w:r>
      <w:r w:rsidRPr="00134AAC">
        <w:rPr>
          <w:rFonts w:ascii="Times New Roman" w:eastAsia="Times New Roman" w:hAnsi="Times New Roman" w:cs="Times New Roman"/>
          <w:sz w:val="24"/>
          <w:szCs w:val="24"/>
        </w:rPr>
        <w:t xml:space="preserve">e </w:t>
      </w:r>
      <w:r w:rsidRPr="00134AAC">
        <w:rPr>
          <w:rFonts w:ascii="Times New Roman" w:eastAsia="Times New Roman" w:hAnsi="Times New Roman" w:cs="Times New Roman"/>
          <w:b/>
          <w:sz w:val="24"/>
          <w:szCs w:val="24"/>
        </w:rPr>
        <w:t xml:space="preserve">Magda Machado de Miranda Costa </w:t>
      </w:r>
      <w:r w:rsidRPr="00134AAC">
        <w:rPr>
          <w:rFonts w:ascii="Times New Roman" w:eastAsia="Times New Roman" w:hAnsi="Times New Roman" w:cs="Times New Roman"/>
          <w:color w:val="212121"/>
          <w:sz w:val="24"/>
          <w:szCs w:val="24"/>
        </w:rPr>
        <w:t xml:space="preserve">contribuíram para a redação do resumo, metodologia, interpretação dos resultados, conclusões, revisão e estatísticas. </w:t>
      </w:r>
      <w:r w:rsidRPr="00134AAC">
        <w:rPr>
          <w:rFonts w:ascii="Times New Roman" w:eastAsia="Times New Roman" w:hAnsi="Times New Roman" w:cs="Times New Roman"/>
          <w:b/>
          <w:sz w:val="24"/>
          <w:szCs w:val="24"/>
        </w:rPr>
        <w:t xml:space="preserve">Mariana Portela de Assis </w:t>
      </w:r>
      <w:r w:rsidRPr="00134AAC">
        <w:rPr>
          <w:rFonts w:ascii="Times New Roman" w:eastAsia="Times New Roman" w:hAnsi="Times New Roman" w:cs="Times New Roman"/>
          <w:sz w:val="24"/>
          <w:szCs w:val="24"/>
        </w:rPr>
        <w:t>e</w:t>
      </w:r>
      <w:r w:rsidRPr="00134AAC">
        <w:rPr>
          <w:rFonts w:ascii="Times New Roman" w:eastAsia="Times New Roman" w:hAnsi="Times New Roman" w:cs="Times New Roman"/>
          <w:b/>
          <w:sz w:val="24"/>
          <w:szCs w:val="24"/>
        </w:rPr>
        <w:t xml:space="preserve"> Adália Pinheiro Loureiro </w:t>
      </w:r>
      <w:r w:rsidRPr="00134AAC">
        <w:rPr>
          <w:rFonts w:ascii="Times New Roman" w:eastAsia="Times New Roman" w:hAnsi="Times New Roman" w:cs="Times New Roman"/>
          <w:color w:val="212121"/>
          <w:sz w:val="24"/>
          <w:szCs w:val="24"/>
        </w:rPr>
        <w:lastRenderedPageBreak/>
        <w:t xml:space="preserve">contribuíram para a redação do resumo, revisão e estatísticas. </w:t>
      </w:r>
      <w:r w:rsidRPr="00134AAC">
        <w:rPr>
          <w:rFonts w:ascii="Times New Roman" w:eastAsia="Times New Roman" w:hAnsi="Times New Roman" w:cs="Times New Roman"/>
          <w:b/>
          <w:sz w:val="24"/>
          <w:szCs w:val="24"/>
        </w:rPr>
        <w:t xml:space="preserve">Henrique Ziembowicz </w:t>
      </w:r>
      <w:r w:rsidRPr="00134AAC">
        <w:rPr>
          <w:rFonts w:ascii="Times New Roman" w:eastAsia="Times New Roman" w:hAnsi="Times New Roman" w:cs="Times New Roman"/>
          <w:sz w:val="24"/>
          <w:szCs w:val="24"/>
        </w:rPr>
        <w:t xml:space="preserve">e </w:t>
      </w:r>
      <w:r w:rsidRPr="00134AAC">
        <w:rPr>
          <w:rFonts w:ascii="Times New Roman" w:eastAsia="Times New Roman" w:hAnsi="Times New Roman" w:cs="Times New Roman"/>
          <w:b/>
          <w:sz w:val="24"/>
          <w:szCs w:val="24"/>
        </w:rPr>
        <w:t xml:space="preserve">Eliane Carlosso Krumennauer </w:t>
      </w:r>
      <w:r w:rsidRPr="00134AAC">
        <w:rPr>
          <w:rFonts w:ascii="Times New Roman" w:eastAsia="Times New Roman" w:hAnsi="Times New Roman" w:cs="Times New Roman"/>
          <w:color w:val="212121"/>
          <w:sz w:val="24"/>
          <w:szCs w:val="24"/>
        </w:rPr>
        <w:t xml:space="preserve">contribuíram para a administração de projetos, pesquisa bibliográfica, revisão e estatísticas. </w:t>
      </w:r>
      <w:r w:rsidRPr="00134AAC">
        <w:rPr>
          <w:rFonts w:ascii="Times New Roman" w:eastAsia="Times New Roman" w:hAnsi="Times New Roman" w:cs="Times New Roman"/>
          <w:b/>
          <w:sz w:val="24"/>
          <w:szCs w:val="24"/>
        </w:rPr>
        <w:t xml:space="preserve">Jane Renner Pollo Renner </w:t>
      </w:r>
      <w:r w:rsidRPr="00134AAC">
        <w:rPr>
          <w:rFonts w:ascii="Times New Roman" w:eastAsia="Times New Roman" w:hAnsi="Times New Roman" w:cs="Times New Roman"/>
          <w:sz w:val="24"/>
          <w:szCs w:val="24"/>
        </w:rPr>
        <w:t xml:space="preserve">e </w:t>
      </w:r>
      <w:r w:rsidRPr="00134AAC">
        <w:rPr>
          <w:rFonts w:ascii="Times New Roman" w:eastAsia="Times New Roman" w:hAnsi="Times New Roman" w:cs="Times New Roman"/>
          <w:b/>
          <w:sz w:val="24"/>
          <w:szCs w:val="24"/>
        </w:rPr>
        <w:t xml:space="preserve">Marcelo Carneiro </w:t>
      </w:r>
      <w:r w:rsidRPr="00134AAC">
        <w:rPr>
          <w:rFonts w:ascii="Times New Roman" w:eastAsia="Times New Roman" w:hAnsi="Times New Roman" w:cs="Times New Roman"/>
          <w:color w:val="212121"/>
          <w:sz w:val="24"/>
          <w:szCs w:val="24"/>
        </w:rPr>
        <w:t>contribuiu para a administração de projetos, pesquisa bibliográfica, redação do resumo, introdução, metodologia, discussão, interpretação e descrição dos resultados, conclusões, revisão e estatísticas.</w:t>
      </w:r>
    </w:p>
    <w:p w14:paraId="0A1E3C06" w14:textId="77777777" w:rsidR="002E6145" w:rsidRPr="00134AAC" w:rsidRDefault="00B06470">
      <w:pPr>
        <w:spacing w:line="360" w:lineRule="auto"/>
        <w:jc w:val="both"/>
        <w:rPr>
          <w:rFonts w:ascii="Times New Roman" w:eastAsia="Times New Roman" w:hAnsi="Times New Roman" w:cs="Times New Roman"/>
          <w:sz w:val="24"/>
          <w:szCs w:val="24"/>
        </w:rPr>
      </w:pPr>
      <w:r w:rsidRPr="00134AAC">
        <w:rPr>
          <w:rFonts w:ascii="Times New Roman" w:eastAsia="Times New Roman" w:hAnsi="Times New Roman" w:cs="Times New Roman"/>
          <w:sz w:val="24"/>
          <w:szCs w:val="24"/>
        </w:rPr>
        <w:t>Todos os autores aprovaram a versão final a ser publicada e são responsáveis por todos os aspectos do trabalho, incluindo a garantia de sua precisão e integridade.</w:t>
      </w:r>
    </w:p>
    <w:p w14:paraId="44F1620F" w14:textId="77777777" w:rsidR="002E6145" w:rsidRPr="00134AAC" w:rsidRDefault="002E6145">
      <w:pPr>
        <w:spacing w:before="240" w:after="240" w:line="240" w:lineRule="auto"/>
        <w:ind w:left="426" w:hanging="429"/>
        <w:jc w:val="both"/>
        <w:rPr>
          <w:rFonts w:ascii="Times New Roman" w:eastAsia="Times New Roman" w:hAnsi="Times New Roman" w:cs="Times New Roman"/>
          <w:sz w:val="24"/>
          <w:szCs w:val="24"/>
        </w:rPr>
      </w:pPr>
    </w:p>
    <w:p w14:paraId="7B4BB5E8" w14:textId="77777777" w:rsidR="002E6145" w:rsidRDefault="002E6145">
      <w:pPr>
        <w:jc w:val="both"/>
        <w:rPr>
          <w:rFonts w:ascii="Times New Roman" w:eastAsia="Times New Roman" w:hAnsi="Times New Roman" w:cs="Times New Roman"/>
          <w:sz w:val="24"/>
          <w:szCs w:val="24"/>
        </w:rPr>
      </w:pPr>
    </w:p>
    <w:sectPr w:rsidR="002E6145">
      <w:headerReference w:type="even" r:id="rId30"/>
      <w:headerReference w:type="default" r:id="rId31"/>
      <w:footerReference w:type="even" r:id="rId32"/>
      <w:footerReference w:type="default" r:id="rId33"/>
      <w:headerReference w:type="first" r:id="rId34"/>
      <w:footerReference w:type="first" r:id="rId35"/>
      <w:pgSz w:w="11906" w:h="16838"/>
      <w:pgMar w:top="1418" w:right="1701"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EBEF6" w14:textId="77777777" w:rsidR="00977548" w:rsidRDefault="00977548">
      <w:pPr>
        <w:spacing w:after="0" w:line="240" w:lineRule="auto"/>
      </w:pPr>
      <w:r>
        <w:separator/>
      </w:r>
    </w:p>
  </w:endnote>
  <w:endnote w:type="continuationSeparator" w:id="0">
    <w:p w14:paraId="18D714E9" w14:textId="77777777" w:rsidR="00977548" w:rsidRDefault="00977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656628D1-39B8-1447-8EA2-148B51150F80}"/>
    <w:embedBold r:id="rId2" w:fontKey="{556D2EA5-5B04-0644-9B4F-2A2B7BFB596F}"/>
  </w:font>
  <w:font w:name="Times New Roman">
    <w:panose1 w:val="02020603050405020304"/>
    <w:charset w:val="00"/>
    <w:family w:val="roman"/>
    <w:pitch w:val="variable"/>
    <w:sig w:usb0="E0002EFF" w:usb1="C000785B" w:usb2="00000009" w:usb3="00000000" w:csb0="000001FF" w:csb1="00000000"/>
    <w:embedRegular r:id="rId3" w:fontKey="{77B95E77-569F-B046-B694-51393377B82E}"/>
    <w:embedBold r:id="rId4" w:fontKey="{F5A3010D-E4DA-F04E-8D67-F0E48DD40570}"/>
    <w:embedItalic r:id="rId5" w:fontKey="{EF5CBBC0-A9A7-EC44-8589-F1126DC9DF12}"/>
    <w:embedBoldItalic r:id="rId6" w:fontKey="{12248D0A-4534-1A45-A650-DC116C127035}"/>
  </w:font>
  <w:font w:name="Liberation Sans">
    <w:altName w:val="Arial"/>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embedRegular r:id="rId8" w:fontKey="{E6B8BDBC-EE41-774B-8521-4A4B7EEE6919}"/>
  </w:font>
  <w:font w:name="Cambria">
    <w:panose1 w:val="02040503050406030204"/>
    <w:charset w:val="00"/>
    <w:family w:val="roman"/>
    <w:pitch w:val="variable"/>
    <w:sig w:usb0="E00002FF" w:usb1="400004FF" w:usb2="00000000" w:usb3="00000000" w:csb0="0000019F" w:csb1="00000000"/>
    <w:embedRegular r:id="rId9" w:fontKey="{3C8B4990-40EE-C046-B7FF-3F0F450A7B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D431C" w14:textId="77777777" w:rsidR="001444CB" w:rsidRDefault="001444C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A8161" w14:textId="77777777" w:rsidR="001444CB" w:rsidRDefault="001444C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ACBDD" w14:textId="77777777" w:rsidR="001444CB" w:rsidRDefault="001444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90EEC" w14:textId="77777777" w:rsidR="00977548" w:rsidRDefault="00977548">
      <w:pPr>
        <w:spacing w:after="0" w:line="240" w:lineRule="auto"/>
      </w:pPr>
      <w:r>
        <w:separator/>
      </w:r>
    </w:p>
  </w:footnote>
  <w:footnote w:type="continuationSeparator" w:id="0">
    <w:p w14:paraId="1018F733" w14:textId="77777777" w:rsidR="00977548" w:rsidRDefault="00977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8C08A" w14:textId="35213EBD" w:rsidR="00DE621D" w:rsidRDefault="00977548">
    <w:pPr>
      <w:pStyle w:val="Cabealho"/>
    </w:pPr>
    <w:r>
      <w:rPr>
        <w:noProof/>
      </w:rPr>
      <w:pict w14:anchorId="5770B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518509" o:spid="_x0000_s1028" type="#_x0000_t136" alt="" style="position:absolute;margin-left:0;margin-top:0;width:506.15pt;height:93.2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Ahead of Print"/>
        </v:shape>
      </w:pict>
    </w:r>
    <w:r>
      <w:rPr>
        <w:noProof/>
      </w:rPr>
      <w:pict w14:anchorId="48559725">
        <v:shape id="_x0000_s1027" type="#_x0000_t136" alt="" style="position:absolute;margin-left:0;margin-top:0;width:509.6pt;height:89.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Layout 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1DDB5" w14:textId="12070D86" w:rsidR="001444CB" w:rsidRDefault="00977548">
    <w:pPr>
      <w:pStyle w:val="Cabealho"/>
    </w:pPr>
    <w:r>
      <w:rPr>
        <w:noProof/>
      </w:rPr>
      <w:pict w14:anchorId="339E9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518510" o:spid="_x0000_s1026" type="#_x0000_t136" alt="" style="position:absolute;margin-left:0;margin-top:0;width:506.15pt;height:93.2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Ahead of Pri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8833" w14:textId="76D5EB5D" w:rsidR="001444CB" w:rsidRDefault="00977548">
    <w:pPr>
      <w:pStyle w:val="Cabealho"/>
    </w:pPr>
    <w:r>
      <w:rPr>
        <w:noProof/>
      </w:rPr>
      <w:pict w14:anchorId="07B35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518508" o:spid="_x0000_s1025" type="#_x0000_t136" alt="" style="position:absolute;margin-left:0;margin-top:0;width:506.15pt;height:93.2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Ahead of Prin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145"/>
    <w:rsid w:val="000B3E9F"/>
    <w:rsid w:val="00134AAC"/>
    <w:rsid w:val="001444CB"/>
    <w:rsid w:val="00265483"/>
    <w:rsid w:val="002756D8"/>
    <w:rsid w:val="002D2B69"/>
    <w:rsid w:val="002D4748"/>
    <w:rsid w:val="002E6145"/>
    <w:rsid w:val="003F47D9"/>
    <w:rsid w:val="004F70B2"/>
    <w:rsid w:val="005B766D"/>
    <w:rsid w:val="005C4861"/>
    <w:rsid w:val="00635AF4"/>
    <w:rsid w:val="00721DBF"/>
    <w:rsid w:val="00761831"/>
    <w:rsid w:val="007E5B25"/>
    <w:rsid w:val="00863672"/>
    <w:rsid w:val="008C3921"/>
    <w:rsid w:val="008D1E65"/>
    <w:rsid w:val="00901075"/>
    <w:rsid w:val="00956D2A"/>
    <w:rsid w:val="00971BFF"/>
    <w:rsid w:val="00977548"/>
    <w:rsid w:val="009D71EA"/>
    <w:rsid w:val="00AC4EBE"/>
    <w:rsid w:val="00B06470"/>
    <w:rsid w:val="00BE6488"/>
    <w:rsid w:val="00CF2529"/>
    <w:rsid w:val="00DE621D"/>
    <w:rsid w:val="00F90866"/>
    <w:rsid w:val="00FA72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47CC"/>
  <w15:docId w15:val="{105E2233-C0A8-2849-B9F8-322AAF91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hd w:val="clear" w:color="auto" w:fill="FFFFFF"/>
      <w:spacing w:after="0" w:line="360" w:lineRule="auto"/>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keepNext/>
      <w:keepLines/>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720"/>
      <w:jc w:val="both"/>
      <w:outlineLvl w:val="1"/>
    </w:pPr>
    <w:rPr>
      <w:rFonts w:ascii="Times New Roman" w:eastAsia="Times New Roman" w:hAnsi="Times New Roman" w:cs="Times New Roman"/>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420" w:lineRule="auto"/>
      <w:ind w:firstLine="720"/>
      <w:jc w:val="both"/>
    </w:pPr>
    <w:rPr>
      <w:rFonts w:ascii="Times New Roman" w:eastAsia="Times New Roman" w:hAnsi="Times New Roman" w:cs="Times New Roman"/>
      <w:sz w:val="24"/>
      <w:szCs w:val="24"/>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314B0B"/>
    <w:rPr>
      <w:b/>
      <w:bCs/>
    </w:rPr>
  </w:style>
  <w:style w:type="character" w:customStyle="1" w:styleId="AssuntodocomentrioChar">
    <w:name w:val="Assunto do comentário Char"/>
    <w:basedOn w:val="TextodecomentrioChar"/>
    <w:link w:val="Assuntodocomentrio"/>
    <w:uiPriority w:val="99"/>
    <w:semiHidden/>
    <w:rsid w:val="00314B0B"/>
    <w:rPr>
      <w:b/>
      <w:bCs/>
      <w:sz w:val="20"/>
      <w:szCs w:val="20"/>
    </w:rPr>
  </w:style>
  <w:style w:type="paragraph" w:styleId="PargrafodaLista">
    <w:name w:val="List Paragraph"/>
    <w:basedOn w:val="Normal"/>
    <w:uiPriority w:val="34"/>
    <w:qFormat/>
    <w:rsid w:val="00D55E18"/>
    <w:pPr>
      <w:ind w:left="720"/>
      <w:contextualSpacing/>
    </w:p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DE621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E621D"/>
  </w:style>
  <w:style w:type="paragraph" w:styleId="Rodap">
    <w:name w:val="footer"/>
    <w:basedOn w:val="Normal"/>
    <w:link w:val="RodapChar"/>
    <w:uiPriority w:val="99"/>
    <w:unhideWhenUsed/>
    <w:rsid w:val="00DE621D"/>
    <w:pPr>
      <w:tabs>
        <w:tab w:val="center" w:pos="4252"/>
        <w:tab w:val="right" w:pos="8504"/>
      </w:tabs>
      <w:spacing w:after="0" w:line="240" w:lineRule="auto"/>
    </w:pPr>
  </w:style>
  <w:style w:type="character" w:customStyle="1" w:styleId="RodapChar">
    <w:name w:val="Rodapé Char"/>
    <w:basedOn w:val="Fontepargpadro"/>
    <w:link w:val="Rodap"/>
    <w:uiPriority w:val="99"/>
    <w:rsid w:val="00DE621D"/>
  </w:style>
  <w:style w:type="paragraph" w:styleId="Reviso">
    <w:name w:val="Revision"/>
    <w:hidden/>
    <w:uiPriority w:val="99"/>
    <w:semiHidden/>
    <w:rsid w:val="009D71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5205/1981-8963-v11i12a23556p4953-4960-2017" TargetMode="External"/><Relationship Id="rId18" Type="http://schemas.openxmlformats.org/officeDocument/2006/relationships/hyperlink" Target="https://www.cdc.gov/mmwr/volumes/65/rr/pdfs/rr6506.pdf" TargetMode="External"/><Relationship Id="rId26" Type="http://schemas.openxmlformats.org/officeDocument/2006/relationships/hyperlink" Target="https://doi.org/10.1371/journal.pone.0209847" TargetMode="External"/><Relationship Id="rId21" Type="http://schemas.openxmlformats.org/officeDocument/2006/relationships/hyperlink" Target="https://doi.org/10.4324/9780203224342" TargetMode="External"/><Relationship Id="rId34" Type="http://schemas.openxmlformats.org/officeDocument/2006/relationships/header" Target="header3.xml"/><Relationship Id="rId7" Type="http://schemas.openxmlformats.org/officeDocument/2006/relationships/hyperlink" Target="mailto:rochelemenezes@unisc.br" TargetMode="External"/><Relationship Id="rId12" Type="http://schemas.openxmlformats.org/officeDocument/2006/relationships/hyperlink" Target="https://doi.org/10.1590/S1413-81232011000800006" TargetMode="External"/><Relationship Id="rId17" Type="http://schemas.openxmlformats.org/officeDocument/2006/relationships/hyperlink" Target="https://antigo.anvisa.gov.br/documents/33852/271855/Diretriz+Nacional+para+Elabora%C3%A7%C3%A3o+de+Programa+de+Gerenciamento+do+Uso+de+Antimicrobianos+em+Servi%C3%A7os+de+Sa%C3%BAde/667979c2-7edc-411b-a7e0-49a6448880d4?version=1.0" TargetMode="External"/><Relationship Id="rId25" Type="http://schemas.openxmlformats.org/officeDocument/2006/relationships/hyperlink" Target="https://doi.org/10.22456/1983-8026.7240"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590/S0080-623420140000700023" TargetMode="External"/><Relationship Id="rId20" Type="http://schemas.openxmlformats.org/officeDocument/2006/relationships/hyperlink" Target="https://doi.org/10.33448/rsd-v8i3.828" TargetMode="External"/><Relationship Id="rId29" Type="http://schemas.openxmlformats.org/officeDocument/2006/relationships/hyperlink" Target="https://doi.org/10.1371/journal.pone.028057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590/S0080-62342009000500002" TargetMode="External"/><Relationship Id="rId24" Type="http://schemas.openxmlformats.org/officeDocument/2006/relationships/hyperlink" Target="https://www.cdc.gov/antibiotic-use/core-elements/hospital.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br/anvisa/pt-br/centraisdeconteudo/publicacoes/servicosdesaude/publicacoes/DiretrizGerenciamentoAntimicrobianosANVISA2023FINAL.pdf" TargetMode="External"/><Relationship Id="rId23" Type="http://schemas.openxmlformats.org/officeDocument/2006/relationships/hyperlink" Target="https://doi.org/10.1186/s12874-015-0070-6" TargetMode="External"/><Relationship Id="rId28" Type="http://schemas.openxmlformats.org/officeDocument/2006/relationships/hyperlink" Target="https://doi.org/10.1590/1983-1447.2021.20200135" TargetMode="External"/><Relationship Id="rId36" Type="http://schemas.openxmlformats.org/officeDocument/2006/relationships/fontTable" Target="fontTable.xml"/><Relationship Id="rId10" Type="http://schemas.openxmlformats.org/officeDocument/2006/relationships/hyperlink" Target="https://doi.org/10.1371/journal.pone.0223822" TargetMode="External"/><Relationship Id="rId19" Type="http://schemas.openxmlformats.org/officeDocument/2006/relationships/hyperlink" Target="https://doi.org/10.36557/2674-8169.2023v5n3p623-636"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16/S0140-6736(21)02724-0" TargetMode="External"/><Relationship Id="rId14" Type="http://schemas.openxmlformats.org/officeDocument/2006/relationships/hyperlink" Target="https://www.gov.br/anvisa/pt-br/centraisdeconteudo/publicacoes/servicosdesaude/publicacoes/pnpciras_2021_2025.pdf" TargetMode="External"/><Relationship Id="rId22" Type="http://schemas.openxmlformats.org/officeDocument/2006/relationships/hyperlink" Target="https://doi.org/10.1590/0034-7167-2020-0782" TargetMode="External"/><Relationship Id="rId27" Type="http://schemas.openxmlformats.org/officeDocument/2006/relationships/hyperlink" Target="https://doi.org/10.5123/S1679-49742017000300022"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e+b9QytFghJQ3qHaguuiSi58Og==">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7345</Words>
  <Characters>39666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Laura O. De Carli</cp:lastModifiedBy>
  <cp:revision>2</cp:revision>
  <dcterms:created xsi:type="dcterms:W3CDTF">2024-10-21T12:28:00Z</dcterms:created>
  <dcterms:modified xsi:type="dcterms:W3CDTF">2024-10-21T12:28:00Z</dcterms:modified>
</cp:coreProperties>
</file>